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28E8E">
      <w:pPr>
        <w:spacing w:before="93" w:beforeLines="30" w:after="93" w:afterLines="30" w:line="440" w:lineRule="exact"/>
        <w:jc w:val="center"/>
        <w:rPr>
          <w:rFonts w:hint="eastAsia" w:ascii="宋体" w:hAnsi="宋体" w:eastAsia="宋体" w:cs="宋体"/>
          <w:b/>
          <w:color w:val="auto"/>
          <w:sz w:val="24"/>
          <w:highlight w:val="none"/>
        </w:rPr>
      </w:pPr>
      <w:bookmarkStart w:id="0" w:name="OLE_LINK1"/>
      <w:bookmarkStart w:id="1" w:name="_Toc22340"/>
      <w:bookmarkStart w:id="2" w:name="_Toc449028945"/>
      <w:r>
        <w:rPr>
          <w:rFonts w:hint="eastAsia" w:ascii="宋体" w:hAnsi="宋体" w:eastAsia="宋体" w:cs="宋体"/>
          <w:b/>
          <w:color w:val="auto"/>
          <w:sz w:val="24"/>
          <w:highlight w:val="none"/>
          <w:lang w:val="en-US" w:eastAsia="zh-CN"/>
        </w:rPr>
        <w:t>二次供水</w:t>
      </w:r>
      <w:r>
        <w:rPr>
          <w:rFonts w:hint="eastAsia" w:ascii="宋体" w:hAnsi="宋体" w:eastAsia="宋体" w:cs="宋体"/>
          <w:b/>
          <w:color w:val="auto"/>
          <w:sz w:val="24"/>
          <w:highlight w:val="none"/>
        </w:rPr>
        <w:t>参数要求</w:t>
      </w:r>
    </w:p>
    <w:p w14:paraId="007F5A1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1、相关资料</w:t>
      </w:r>
    </w:p>
    <w:p w14:paraId="6CE9EFC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本次招标产品成套变频给水设备、成套叠压（无负压）给水设备产品生产质量执行下列最新标准：</w:t>
      </w:r>
    </w:p>
    <w:p w14:paraId="506B8846">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《无负压管网增压稳流给水设备》GB/T26003</w:t>
      </w:r>
    </w:p>
    <w:p w14:paraId="6EF7C58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《罐式叠压给水设备》</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"http://f.csres.com/detail/270765.html" \t "http://f.csres.com/_blank"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GB/T 24912</w:t>
      </w:r>
      <w:r>
        <w:rPr>
          <w:rFonts w:hint="eastAsia" w:ascii="宋体" w:hAnsi="宋体" w:eastAsia="宋体" w:cs="宋体"/>
          <w:color w:val="auto"/>
          <w:sz w:val="21"/>
          <w:szCs w:val="21"/>
          <w:highlight w:val="none"/>
        </w:rPr>
        <w:fldChar w:fldCharType="end"/>
      </w:r>
    </w:p>
    <w:p w14:paraId="1243965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《箱式叠压给水设备》GB/T24603</w:t>
      </w:r>
    </w:p>
    <w:p w14:paraId="32D27A8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《离心泵技术条件（III 类）》GB/T5657</w:t>
      </w:r>
    </w:p>
    <w:p w14:paraId="017BEB1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《水泵流量的测定方法》GB/T3214</w:t>
      </w:r>
    </w:p>
    <w:p w14:paraId="76D8A37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《旋转电机定额和性能》GB75</w:t>
      </w:r>
    </w:p>
    <w:p w14:paraId="6E79BEC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《电气控制设备》GB/T3797</w:t>
      </w:r>
    </w:p>
    <w:p w14:paraId="785249D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GB/T 4208-2017/XG1-2024《外壳防护等级（IP代码）》国家标准第1号修改单</w:t>
      </w:r>
    </w:p>
    <w:p w14:paraId="487675F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流体输送用不锈钢焊接钢管》GB/T1277最新标准，其他配件执行相应国家最新标准要求；产品卫生性能须符合《生活饮用水输配水设备及防护材料的安全性评价标准》GB/T17219最新标准要求；以及招标人（甲方）的安防系统、控制系统等细化设计标准。</w:t>
      </w:r>
    </w:p>
    <w:p w14:paraId="5C37FC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2、水泵机组</w:t>
      </w:r>
    </w:p>
    <w:p w14:paraId="6421CC5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（1）离心水泵</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符合设计要求。</w:t>
      </w:r>
    </w:p>
    <w:p w14:paraId="5E8866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（2）水泵产品应通过节能认证；各扬程点</w:t>
      </w:r>
      <w:r>
        <w:rPr>
          <w:rFonts w:hint="eastAsia" w:ascii="宋体" w:hAnsi="宋体" w:eastAsia="宋体" w:cs="宋体"/>
          <w:b/>
          <w:color w:val="auto"/>
          <w:sz w:val="21"/>
          <w:szCs w:val="21"/>
          <w:highlight w:val="none"/>
        </w:rPr>
        <w:t>水泵效率＞70%，</w:t>
      </w:r>
      <w:r>
        <w:rPr>
          <w:rFonts w:hint="eastAsia" w:ascii="宋体" w:hAnsi="宋体" w:eastAsia="宋体" w:cs="宋体"/>
          <w:color w:val="auto"/>
          <w:sz w:val="21"/>
          <w:szCs w:val="21"/>
          <w:highlight w:val="none"/>
        </w:rPr>
        <w:t>水泵效率符合现行标准《清水离心泵能效限定值及节能评价值》GB19762规定的节能评价值标准。</w:t>
      </w:r>
    </w:p>
    <w:p w14:paraId="7AE2B9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（3）材质及加工工艺：水泵腔体、叶轮、外筒等主要过水部件采用食品级304（06Cr19Ni10）不锈钢材质、</w:t>
      </w:r>
      <w:r>
        <w:rPr>
          <w:rFonts w:hint="eastAsia" w:ascii="宋体" w:hAnsi="宋体" w:eastAsia="宋体" w:cs="宋体"/>
          <w:b/>
          <w:bCs/>
          <w:color w:val="auto"/>
          <w:sz w:val="21"/>
          <w:szCs w:val="21"/>
          <w:highlight w:val="none"/>
        </w:rPr>
        <w:t>水泵进出口法兰及过水部件采用食品级不锈钢材质。</w:t>
      </w:r>
      <w:r>
        <w:rPr>
          <w:rFonts w:hint="eastAsia" w:ascii="宋体" w:hAnsi="宋体" w:eastAsia="宋体" w:cs="宋体"/>
          <w:color w:val="auto"/>
          <w:sz w:val="21"/>
          <w:szCs w:val="21"/>
          <w:highlight w:val="none"/>
        </w:rPr>
        <w:t>水泵进、出水接口采用圆形法兰连接。</w:t>
      </w:r>
      <w:r>
        <w:rPr>
          <w:rFonts w:hint="eastAsia" w:ascii="宋体" w:hAnsi="宋体" w:eastAsia="宋体" w:cs="宋体"/>
          <w:b/>
          <w:color w:val="auto"/>
          <w:sz w:val="21"/>
          <w:szCs w:val="21"/>
          <w:highlight w:val="none"/>
        </w:rPr>
        <w:t>水泵叶轮采用激光一次性整体焊接。</w:t>
      </w:r>
    </w:p>
    <w:p w14:paraId="7D493E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（4）二次供水设施选用的水泵噪声应符合现行标准中的B级或以上要求；水泵振动应符合现行标准中的B级或以上要求。（有最新标准的按最新标准的执行）</w:t>
      </w:r>
    </w:p>
    <w:p w14:paraId="27383E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（5）水泵机组的吸水管、出水管设置软接头等减振装置。橡胶软连接符合《环境保护产品技术要求可曲挠橡胶接头》HJ/T 39</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的规定，采用法兰与管道连接，法兰材质为食品级304不锈钢；其</w:t>
      </w:r>
      <w:r>
        <w:rPr>
          <w:rFonts w:hint="eastAsia" w:ascii="宋体" w:hAnsi="宋体" w:eastAsia="宋体" w:cs="宋体"/>
          <w:color w:val="auto"/>
          <w:sz w:val="21"/>
          <w:szCs w:val="21"/>
          <w:highlight w:val="none"/>
          <w:shd w:val="clear" w:color="auto" w:fill="FFFFFF"/>
        </w:rPr>
        <w:t>工作压力等级根据实际选用</w:t>
      </w:r>
      <w:r>
        <w:rPr>
          <w:rFonts w:hint="eastAsia" w:ascii="宋体" w:hAnsi="宋体" w:eastAsia="宋体" w:cs="宋体"/>
          <w:color w:val="auto"/>
          <w:sz w:val="21"/>
          <w:szCs w:val="21"/>
          <w:highlight w:val="none"/>
        </w:rPr>
        <w:t>。水泵机组应设置橡胶隔振垫，橡胶隔震垫应符合《仪器、设备用橡胶隔震垫》GB/T 20029的规定。</w:t>
      </w:r>
    </w:p>
    <w:p w14:paraId="151D6B3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（6）成套设备基座采用不低于热浸镀锌、涂塑、304不锈钢板包面等防腐措施，且必须符合国家相关标准。成套设备基座与水泵铸造基板物理隔离。成套设备使用的螺栓、螺钉和螺母等紧固件应采用不锈钢材质。</w:t>
      </w:r>
    </w:p>
    <w:p w14:paraId="68E625F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（7）水泵安装应符合现行国家标准《压缩机、风机、泵安装工程施工及验收规范》GB50275的</w:t>
      </w:r>
      <w:r>
        <w:rPr>
          <w:rFonts w:hint="eastAsia" w:ascii="宋体" w:hAnsi="宋体" w:eastAsia="宋体" w:cs="宋体"/>
          <w:color w:val="auto"/>
          <w:sz w:val="21"/>
          <w:szCs w:val="21"/>
          <w:highlight w:val="none"/>
          <w:lang w:val="en-US" w:eastAsia="zh-CN"/>
        </w:rPr>
        <w:t>最新</w:t>
      </w:r>
      <w:r>
        <w:rPr>
          <w:rFonts w:hint="eastAsia" w:ascii="宋体" w:hAnsi="宋体" w:eastAsia="宋体" w:cs="宋体"/>
          <w:color w:val="auto"/>
          <w:sz w:val="21"/>
          <w:szCs w:val="21"/>
          <w:highlight w:val="none"/>
          <w:lang w:eastAsia="zh-CN"/>
        </w:rPr>
        <w:t>规定。</w:t>
      </w:r>
    </w:p>
    <w:p w14:paraId="391499E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3、配套电机：（单泵流量控制）</w:t>
      </w:r>
    </w:p>
    <w:p w14:paraId="58DC12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（1）电机基本参数 </w:t>
      </w:r>
    </w:p>
    <w:p w14:paraId="108B40C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电源 380V/50Hz</w:t>
      </w:r>
    </w:p>
    <w:p w14:paraId="79AF85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效率 二级能效及以上</w:t>
      </w:r>
    </w:p>
    <w:p w14:paraId="6B462B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额定转速 6 级电机≤980r/min；4 级电机≤1480r/min；2 级电机≤2950r/min</w:t>
      </w:r>
    </w:p>
    <w:p w14:paraId="2366F4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绝缘等级 F 级及以上</w:t>
      </w:r>
    </w:p>
    <w:p w14:paraId="72F4AA2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防护等级 IP55</w:t>
      </w:r>
    </w:p>
    <w:p w14:paraId="30C7BB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电气标准 IEC</w:t>
      </w:r>
    </w:p>
    <w:p w14:paraId="62C3DCC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（2）每台水泵配一台电机，功率与水泵配套，转速与水泵配套；电机冷却方式为风冷；电机运行方式为 S1（工作状态24小时连续运行）。</w:t>
      </w:r>
    </w:p>
    <w:p w14:paraId="4299BF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（3）水泵电动机能效不低于现行标准《中小型三相异步电动机能效限定值及节能评价值》GB18613-2020二级要求。 </w:t>
      </w:r>
    </w:p>
    <w:p w14:paraId="148959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（4）电机外壳采取烤漆工艺，电机应做减振处理，应有可靠的接地，应标注电机的旋转方向。</w:t>
      </w:r>
    </w:p>
    <w:p w14:paraId="795CBF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4、</w:t>
      </w:r>
      <w:r>
        <w:rPr>
          <w:rFonts w:hint="eastAsia" w:ascii="宋体" w:hAnsi="宋体" w:eastAsia="宋体" w:cs="宋体"/>
          <w:b/>
          <w:color w:val="auto"/>
          <w:sz w:val="21"/>
          <w:szCs w:val="21"/>
          <w:highlight w:val="none"/>
        </w:rPr>
        <w:t>机组管路及配件、稳流补偿器、气压罐 ：</w:t>
      </w:r>
    </w:p>
    <w:p w14:paraId="5A794C9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叠压（无负压）给水设备配置：稳流补偿器出水口至水泵进水总管应配置蝶阀；水泵进水总管至水泵进水口段应配置：蝶阀、橡胶软连接、偏心异径管;水泵出水口至出水总管段应配置：异径管、弯头、压力表、橡胶软连接、消声止回阀、闸阀。出水总管上应安装压力变送器及电接点压力表及取水阀门；进水管路应配置压力变送器，下部应配置液位开关及排水阀门。</w:t>
      </w:r>
    </w:p>
    <w:p w14:paraId="77D3E3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2）水箱变频给水设备按进水总管至水泵进水口应配置：蝶阀、橡胶软连接、偏心异径管；水泵出水口至出水总管应配置：异径管、弯头、压力表、橡胶软连接、止回阀、闸阀；出水总管上应安装压力变送器及电接点压力表及取水阀门。（配置紫外线消毒器可以采用不锈钢法兰式涡轮蝶阀）</w:t>
      </w:r>
    </w:p>
    <w:p w14:paraId="74A5A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阀门等配件配置材料：管道、阀门及其他配件应采用食品级304（06Cr19Ni10）或质量更高的不锈钢材质（阀门过水断面必须为食品级 304（06Cr19Ni10）不锈钢），且应符合《生活饮用水输配水设备及防护材料的安全性评价标准》GB/T 17219。管路配用的阀门等配件均应采用标准件。</w:t>
      </w:r>
    </w:p>
    <w:p w14:paraId="47ECF7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（3）阀门连接长度、性能、材质、标志等要求：①壳体内外须应光洁、无气孔、无沙眼、无疏松等现象（经酸洗钝化处理）。</w:t>
      </w:r>
    </w:p>
    <w:p w14:paraId="3371AE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②阀门的非金属密封材料：阀体与阀盖的密封垫片、阀杆填料等密封件须采用无毒的材料（如四氟乙烯、橡胶等），《生活饮用水输配水设备及防护材料的安全性评价标准》GB/T 17219 最新标准要求。</w:t>
      </w:r>
    </w:p>
    <w:p w14:paraId="57C5D7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③阀门的铭牌标志内容应符合现行国家标准</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工业阀门标志</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GB/T 12220-2015的规定，应有：制造企业名称、产品型号、公称压力、公称尺寸、阀体材质、制造批号等内容。</w:t>
      </w:r>
    </w:p>
    <w:p w14:paraId="25B2D7F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④闸阀应符合《钢制阀门一般要求》GB/T 12224 最新标准的规定；结构长度应符合GB/T12221最新标准的规定。</w:t>
      </w:r>
    </w:p>
    <w:p w14:paraId="6E12BFB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⑤球阀应符合《石油、石化及相关工业用的钢制球阀》GB/T 12237最新标准的规定；</w:t>
      </w:r>
    </w:p>
    <w:p w14:paraId="29DF9C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⑥蝶阀应符合《法兰和对夹连接弹性密封蝶阀》GB/T 12238最新标准的规定；</w:t>
      </w:r>
    </w:p>
    <w:p w14:paraId="1A749F0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⑦消声止回阀（轴流式）应符合《轴流式止回阀》GB/T 21387的规定，结构形式为圆盘形，结构长度为圆盘形短。</w:t>
      </w:r>
    </w:p>
    <w:p w14:paraId="550CC7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⑧阀门其它未特殊说明部分，必须符合《钢制阀门一般要求》GB／T12224最新标准的规定。</w:t>
      </w:r>
    </w:p>
    <w:p w14:paraId="07AED3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⑨阀门的强度试验和密封试验的检验结果须符合《工业阀门压力试验》GB/T 13927最新标准的规定。</w:t>
      </w:r>
    </w:p>
    <w:p w14:paraId="4B5F8D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（4）阀门结构要求：</w:t>
      </w:r>
    </w:p>
    <w:p w14:paraId="202ABAA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①闸阀的结构和阀杆直径按《石油、天然气工业用螺栓连接阀盖的钢制闸阀》GB/T 12234最新标准的规定；流道各处直径不得小于GB/T12234最新标准的要求。</w:t>
      </w:r>
    </w:p>
    <w:p w14:paraId="30892F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③蝶阀的结构按《法兰和对夹连接弹性密封蝶阀》GB/T 12238最新标准的规定。阀门其它未特殊说明部分，必须符合《钢制阀门一般要求》GB／T12224最新标准要求。</w:t>
      </w:r>
    </w:p>
    <w:p w14:paraId="411565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（5）配套的不锈钢管及管件技术要求：</w:t>
      </w:r>
    </w:p>
    <w:p w14:paraId="15FBD99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①所投产品卫生标准须符合《生活饮用水输配水设备及防护材料的安全性评价标准》GB/T17219 的规定。</w:t>
      </w:r>
    </w:p>
    <w:p w14:paraId="2AED77F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②不锈钢管材应符合《流体输送用不锈钢焊接钢管》（GB/T12771）最新标准，不锈钢材料为食品级 S30408（06Cr19Ni10）及以上等级材料,其管壁厚度≥4mm。</w:t>
      </w:r>
    </w:p>
    <w:p w14:paraId="7197ECC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③管材内外须采用酸洗钝化处理，且不锈钢管路表面处理工艺采用抛丸亚光，所有管件必须经过固溶处理，且不得采用氨分解气体保护的固溶处理，宜采用全氢气体保护或真空固溶处理。管件焊接组件须进行内外表面的气体保护焊接，防止焊缝处氧化而降低耐腐蚀性能。</w:t>
      </w:r>
    </w:p>
    <w:p w14:paraId="38FD2C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④管路连接：管路焊接不允许在现场进行，应在工厂内焊接完成；应预留与现场设备连接的法兰接头。管道与设备、阀门的连接方式采用法兰连接，应最大限度地降低法兰使用的数量，法兰尺寸应GB/T9119系列标准。</w:t>
      </w:r>
    </w:p>
    <w:p w14:paraId="750CBC9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6）稳流补偿罐板材选用食品级S30408（06Cr19Ni10）不锈钢材质，表面处理工艺采用抛丸亚光或不低于此工艺处理，与水接触配件材质选用食品级S30408（06Cr19Ni10）不锈钢；稳流补偿罐壁厚度≥4mm。进水口应设置在稳流补偿罐的上部，稳流补偿罐在最低点处应设置排水阀门，口径不低于DN40。</w:t>
      </w:r>
    </w:p>
    <w:p w14:paraId="7450F3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（7）气压罐：采用隔膜式，材质选用食品级 304(国标)不锈钢，选用食品级橡胶，压力罐顶部设置压力表。压力表与气压罐体连接处使用紫铜缓冲管。气压罐应设置检修阀（球阀）。气压罐铭牌应注明：设计压力、容积、生产日期、制造许可证编号。气压罐与管道连接应设置检修S30408明杆闸阀。气压罐底部须设置排水阀门，口径不低DN40。</w:t>
      </w:r>
    </w:p>
    <w:p w14:paraId="3797ECE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5、控制系统（硬件部分）：</w:t>
      </w:r>
    </w:p>
    <w:p w14:paraId="303D75B9">
      <w:pPr>
        <w:keepNext w:val="0"/>
        <w:keepLines w:val="0"/>
        <w:pageBreakBefore w:val="0"/>
        <w:widowControl w:val="0"/>
        <w:kinsoku/>
        <w:wordWrap/>
        <w:overflowPunct/>
        <w:topLinePunct w:val="0"/>
        <w:autoSpaceDE/>
        <w:autoSpaceDN/>
        <w:bidi w:val="0"/>
        <w:adjustRightInd/>
        <w:snapToGrid w:val="0"/>
        <w:spacing w:line="400" w:lineRule="exact"/>
        <w:ind w:left="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（1）低压元器件：</w:t>
      </w:r>
      <w:r>
        <w:rPr>
          <w:rFonts w:hint="eastAsia" w:ascii="宋体" w:hAnsi="宋体" w:eastAsia="宋体" w:cs="宋体"/>
          <w:color w:val="auto"/>
          <w:sz w:val="21"/>
          <w:szCs w:val="21"/>
          <w:highlight w:val="none"/>
        </w:rPr>
        <w:t>空开按实际需要配置（包括总空开（带隔离功能）、变频器、流量计、电动调节阀、触摸屏、开关电源、PLC等），接触器3只（变频器与空开间设接触器，变频器不工作时，断开变频器电源）。PLC 1台，触摸屏1台，开关电源1台，缺相（相序）保护器1只。压力变送器</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只、电接点压力表</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只。单相电压变送器、电压表各3只、流量计（按各区出水管数量配置），电力参数检测仪表1只、10安多孔插座（两眼+三眼）1只。其它未说明部分</w:t>
      </w:r>
      <w:r>
        <w:rPr>
          <w:rFonts w:hint="eastAsia" w:ascii="宋体" w:hAnsi="宋体" w:eastAsia="宋体" w:cs="宋体"/>
          <w:color w:val="auto"/>
          <w:sz w:val="21"/>
          <w:szCs w:val="21"/>
          <w:highlight w:val="none"/>
          <w:lang w:val="en-US" w:eastAsia="zh-CN"/>
        </w:rPr>
        <w:t>施工单位</w:t>
      </w:r>
      <w:r>
        <w:rPr>
          <w:rFonts w:hint="eastAsia" w:ascii="宋体" w:hAnsi="宋体" w:eastAsia="宋体" w:cs="宋体"/>
          <w:color w:val="auto"/>
          <w:sz w:val="21"/>
          <w:szCs w:val="21"/>
          <w:highlight w:val="none"/>
        </w:rPr>
        <w:t>可按需要配置，所有低压元器件容量按设备负荷配置。</w:t>
      </w:r>
    </w:p>
    <w:p w14:paraId="57EC55E5">
      <w:pPr>
        <w:keepNext w:val="0"/>
        <w:keepLines w:val="0"/>
        <w:pageBreakBefore w:val="0"/>
        <w:widowControl w:val="0"/>
        <w:kinsoku/>
        <w:wordWrap/>
        <w:overflowPunct/>
        <w:topLinePunct w:val="0"/>
        <w:autoSpaceDE/>
        <w:autoSpaceDN/>
        <w:bidi w:val="0"/>
        <w:adjustRightInd/>
        <w:snapToGrid w:val="0"/>
        <w:spacing w:line="400" w:lineRule="exact"/>
        <w:ind w:left="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（2）可编程控制器：</w:t>
      </w:r>
    </w:p>
    <w:p w14:paraId="02FE2CD1">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为加强二次供水设施管理，确保二次供水成套设备安全运行，实现二次供水泵房统一平台下的远程监控</w:t>
      </w:r>
      <w:r>
        <w:rPr>
          <w:rFonts w:hint="eastAsia" w:ascii="宋体" w:hAnsi="宋体" w:eastAsia="宋体" w:cs="宋体"/>
          <w:color w:val="auto"/>
          <w:sz w:val="21"/>
          <w:szCs w:val="21"/>
          <w:highlight w:val="none"/>
          <w:lang w:eastAsia="zh-CN"/>
        </w:rPr>
        <w:t>。</w:t>
      </w:r>
    </w:p>
    <w:p w14:paraId="4F12077C">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可编程控制器PLC的输入/输出点数在满足招标文件技术及功能要求的基础上，应有预留量,预留量不少于4个AI点，2个AO点，8个DI点，8个DO点；用户程序区容量不低于24KB，数据存储区容量不低于16KB，开关量（0/1）运算执行时间不高于0.15μs。</w:t>
      </w:r>
    </w:p>
    <w:p w14:paraId="0A3B7768">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②PLC本体集成以太网口，可实现多台PLC及HMI设备通过交换机组网。</w:t>
      </w:r>
    </w:p>
    <w:p w14:paraId="4F97AFF0">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③PLC本体自带Micro  SD卡插槽，可实现固件升级、程序传输。</w:t>
      </w:r>
    </w:p>
    <w:p w14:paraId="47A2E0BB">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④为了便于集成及安装，PLC本体与模块间需插针式连接。</w:t>
      </w:r>
    </w:p>
    <w:p w14:paraId="68BE06A2">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⑤PLC本体能支持信号板扩展，从而实现精准的配置。</w:t>
      </w:r>
    </w:p>
    <w:p w14:paraId="7E853906">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⑥每个PLC的输入/输出点数量应满足本招标文件功能及二次供水泵站远程监控通讯协议列表要求。</w:t>
      </w:r>
    </w:p>
    <w:p w14:paraId="0B8AD763">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PLC输入：无水故障、变频故障、超压保护、相序保护、手动变频、报警确认、门禁信号、积水坑液位开关、进线三相电压、进线三相电流、进线有功电量（如采用电量变送器）、变频器工作频率、进水电动调节阀开启度、出水累计流量、出水瞬时流量、1#泵空开跳闸（随泵台数的增加而增加）、压力传感器信号、液位信号、水泵运行信号、水泵手自动信号。</w:t>
      </w:r>
    </w:p>
    <w:p w14:paraId="6EBAD536">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⑧PLC输出：故障报警、无水输出、高水位输出、进水电动阀开关、照明开关1#泵停止、1#泵变频。</w:t>
      </w:r>
    </w:p>
    <w:p w14:paraId="2CD67261">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⑨每个PLC至少预留一个以太网接口，用于二次供水泵站远程监控，将用户指定的数据按照地址分配原则写入指定PLC存储区。由于所有供水分区远程监控数据是经由低区PLC通过光纤进行通讯，投标人在投标时应充分考虑各供水分区通讯接口类型及数量。</w:t>
      </w:r>
    </w:p>
    <w:p w14:paraId="4FF54D26">
      <w:pPr>
        <w:keepNext w:val="0"/>
        <w:keepLines w:val="0"/>
        <w:pageBreakBefore w:val="0"/>
        <w:widowControl w:val="0"/>
        <w:kinsoku/>
        <w:wordWrap/>
        <w:overflowPunct/>
        <w:topLinePunct w:val="0"/>
        <w:autoSpaceDE/>
        <w:autoSpaceDN/>
        <w:bidi w:val="0"/>
        <w:adjustRightInd/>
        <w:snapToGrid w:val="0"/>
        <w:spacing w:line="400" w:lineRule="exact"/>
        <w:ind w:left="0"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3</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触摸屏：</w:t>
      </w:r>
    </w:p>
    <w:p w14:paraId="5509E042">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宜采用不小于10寸彩色触摸屏，屏幕显示清晰，多行数据显示，能自动黑屏屏保，和PLC通讯良好；按键需能快速、简单、准确；防护等级IP65；带USB接口。</w:t>
      </w:r>
    </w:p>
    <w:p w14:paraId="1E398172">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①显示清晰，与PLC通信良好。</w:t>
      </w:r>
    </w:p>
    <w:p w14:paraId="40859D3A">
      <w:pPr>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显示内容：各台水泵的状态（变频、休息、故障），设定压力，供水压力及其波动曲线（应有最少48小时持续性供水压力曲线图），水箱的液位，电动阀的状态及开度，出口流量计瞬时流量、累计流量，错峰供水状况，可以分时段设定压力，设置参数（定时轮换、定点轮换、轮换时间、PID参数调整、水泵机组所用参数设定），故障检测、记录与分析，系统帮助与说明。设备参数设置，必须有密码保护；且用户名和密码必须统一；应分别设定管理员和普通巡检人员的权限；设定参数之后，应有保存功能。</w:t>
      </w:r>
    </w:p>
    <w:p w14:paraId="6558F14A">
      <w:pPr>
        <w:keepNext w:val="0"/>
        <w:keepLines w:val="0"/>
        <w:pageBreakBefore w:val="0"/>
        <w:widowControl w:val="0"/>
        <w:kinsoku/>
        <w:wordWrap/>
        <w:overflowPunct/>
        <w:topLinePunct w:val="0"/>
        <w:autoSpaceDE/>
        <w:autoSpaceDN/>
        <w:bidi w:val="0"/>
        <w:adjustRightInd/>
        <w:snapToGrid w:val="0"/>
        <w:spacing w:line="400" w:lineRule="exact"/>
        <w:ind w:left="0" w:firstLine="422" w:firstLineChars="20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4</w:t>
      </w:r>
      <w:r>
        <w:rPr>
          <w:rFonts w:hint="eastAsia" w:ascii="宋体" w:hAnsi="宋体" w:eastAsia="宋体" w:cs="宋体"/>
          <w:b/>
          <w:color w:val="auto"/>
          <w:sz w:val="21"/>
          <w:szCs w:val="21"/>
          <w:highlight w:val="none"/>
          <w:lang w:eastAsia="zh-CN"/>
        </w:rPr>
        <w:t>）变频器：</w:t>
      </w:r>
    </w:p>
    <w:p w14:paraId="19690996">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采用专用型水泵控制变频器（当年主流型号），具有符合国际标准和认证(CE、UL等) 的要求，并具备多泵控制功能。为保证变频调速系统安全可靠运转，内置（或外置）电抗器、EMC滤波器，具备磁通电流控制和多点U/f控制等性能特性，对水泵具有缺相，过电压（欠电压）短路等保护。1台变频器配置一台水泵，且能做到自动切换，备泵也按主泵配置计入。</w:t>
      </w:r>
      <w:r>
        <w:rPr>
          <w:rFonts w:hint="eastAsia" w:ascii="宋体" w:hAnsi="宋体" w:eastAsia="宋体" w:cs="宋体"/>
          <w:b/>
          <w:color w:val="auto"/>
          <w:sz w:val="21"/>
          <w:szCs w:val="21"/>
          <w:highlight w:val="none"/>
        </w:rPr>
        <w:t>所有变频器必须设置独立断路器。</w:t>
      </w:r>
      <w:r>
        <w:rPr>
          <w:rFonts w:hint="eastAsia" w:ascii="宋体" w:hAnsi="宋体" w:eastAsia="宋体" w:cs="宋体"/>
          <w:color w:val="auto"/>
          <w:sz w:val="21"/>
          <w:szCs w:val="21"/>
          <w:highlight w:val="none"/>
        </w:rPr>
        <w:t>第1台泵变频启动到额定频率，设备出口压力仍未稳定达到设定值时，变频启动第二台泵，依次类推。</w:t>
      </w:r>
    </w:p>
    <w:p w14:paraId="1FA47429">
      <w:pPr>
        <w:keepNext w:val="0"/>
        <w:keepLines w:val="0"/>
        <w:pageBreakBefore w:val="0"/>
        <w:widowControl w:val="0"/>
        <w:kinsoku/>
        <w:wordWrap/>
        <w:overflowPunct/>
        <w:topLinePunct w:val="0"/>
        <w:autoSpaceDE/>
        <w:autoSpaceDN/>
        <w:bidi w:val="0"/>
        <w:adjustRightInd/>
        <w:snapToGrid w:val="0"/>
        <w:spacing w:line="400" w:lineRule="exact"/>
        <w:ind w:left="0" w:firstLine="422" w:firstLineChars="20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（5）电气元件：</w:t>
      </w:r>
    </w:p>
    <w:p w14:paraId="704882B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低压电气元件如接触器、空气开关、开关电源、相序保护装置、电力变送器等电气元件选。每台控制柜应配置总柜断路器（带隔离功能），主要用电设备（变频器、水泵、开关电源、可编程控制逻辑器PLC）应独立配置断路器，另每个变频控制柜中须配备 10 安多孔插座（两眼+三眼）1 只。</w:t>
      </w:r>
    </w:p>
    <w:p w14:paraId="7C53C385">
      <w:pPr>
        <w:keepNext w:val="0"/>
        <w:keepLines w:val="0"/>
        <w:pageBreakBefore w:val="0"/>
        <w:widowControl w:val="0"/>
        <w:kinsoku/>
        <w:wordWrap/>
        <w:overflowPunct/>
        <w:topLinePunct w:val="0"/>
        <w:autoSpaceDE/>
        <w:autoSpaceDN/>
        <w:bidi w:val="0"/>
        <w:adjustRightInd/>
        <w:snapToGrid w:val="0"/>
        <w:spacing w:line="400" w:lineRule="exact"/>
        <w:ind w:left="0" w:firstLine="422" w:firstLineChars="20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lang w:eastAsia="zh-CN"/>
        </w:rPr>
        <w:t>）传感器及变送器：</w:t>
      </w:r>
    </w:p>
    <w:p w14:paraId="4AE7C53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①压力变送器：用于出水总管压力测量，泵前压力(仅无负压式)测量。量程根据二次供水泵房实际工艺状况选取，输出4-20mA，</w:t>
      </w:r>
      <w:r>
        <w:rPr>
          <w:rFonts w:hint="eastAsia" w:ascii="宋体" w:hAnsi="宋体" w:eastAsia="宋体" w:cs="宋体"/>
          <w:b/>
          <w:color w:val="auto"/>
          <w:sz w:val="21"/>
          <w:szCs w:val="21"/>
          <w:highlight w:val="none"/>
        </w:rPr>
        <w:t>压力变送器装三通旋塞，</w:t>
      </w:r>
      <w:r>
        <w:rPr>
          <w:rFonts w:hint="eastAsia" w:ascii="宋体" w:hAnsi="宋体" w:eastAsia="宋体" w:cs="宋体"/>
          <w:color w:val="auto"/>
          <w:sz w:val="21"/>
          <w:szCs w:val="21"/>
          <w:highlight w:val="none"/>
        </w:rPr>
        <w:t>并装DN15快阀。</w:t>
      </w:r>
    </w:p>
    <w:p w14:paraId="2C8A7E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②电接点压力表：采用耐振式电接点压力表，用于出水总管压力偏离测量，设高、低限，干节点输出。</w:t>
      </w:r>
    </w:p>
    <w:p w14:paraId="0A334A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③液位开关(仅水箱式)：用于检测水箱式二次供水泵房水泵停机水位，干节点输出。24V电源配置交流隔离变压器。安装位置：比水箱出水管最高点高10cm。</w:t>
      </w:r>
    </w:p>
    <w:p w14:paraId="3A41038D">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④一体式超声波液位计(仅水箱式)：用于检测二次供水泵房水箱水位，量程0-5M，输出4--20mA，带RS485接口；外壳防护等级：IP67；测量精度0.25%，盲区≯0.25米，带液晶显示屏，显示至小数点后两位（精确到厘米）。安装必须符合仪表的安装要求，与水箱箱体以法兰连接，且应尽可能避开水箱内设施，如：人梯、拉筋等；</w:t>
      </w:r>
      <w:r>
        <w:rPr>
          <w:rFonts w:hint="eastAsia" w:ascii="宋体" w:hAnsi="宋体" w:eastAsia="宋体" w:cs="宋体"/>
          <w:color w:val="auto"/>
          <w:spacing w:val="5"/>
          <w:sz w:val="21"/>
          <w:szCs w:val="21"/>
          <w:highlight w:val="none"/>
        </w:rPr>
        <w:t>仪表距水箱壁必须保持一定的距离；仪表的安装尽可能</w:t>
      </w:r>
      <w:r>
        <w:rPr>
          <w:rFonts w:hint="eastAsia" w:ascii="宋体" w:hAnsi="宋体" w:eastAsia="宋体" w:cs="宋体"/>
          <w:color w:val="auto"/>
          <w:spacing w:val="6"/>
          <w:sz w:val="21"/>
          <w:szCs w:val="21"/>
          <w:highlight w:val="none"/>
        </w:rPr>
        <w:t>使换能器的发射方向与液面垂直</w:t>
      </w:r>
      <w:r>
        <w:rPr>
          <w:rFonts w:hint="eastAsia" w:ascii="宋体" w:hAnsi="宋体" w:eastAsia="宋体" w:cs="宋体"/>
          <w:color w:val="auto"/>
          <w:sz w:val="21"/>
          <w:szCs w:val="21"/>
          <w:highlight w:val="none"/>
        </w:rPr>
        <w:t>。超声波液位计必须有可靠接地。按水箱个数配置，依次接入低区至高区</w:t>
      </w:r>
      <w:r>
        <w:rPr>
          <w:rFonts w:hint="eastAsia" w:ascii="宋体" w:hAnsi="宋体" w:eastAsia="宋体" w:cs="宋体"/>
          <w:b/>
          <w:bCs/>
          <w:color w:val="auto"/>
          <w:sz w:val="21"/>
          <w:szCs w:val="21"/>
          <w:highlight w:val="none"/>
        </w:rPr>
        <w:t>。</w:t>
      </w:r>
    </w:p>
    <w:p w14:paraId="3C2A52A0">
      <w:pPr>
        <w:keepNext w:val="0"/>
        <w:keepLines w:val="0"/>
        <w:pageBreakBefore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⑤地面积水浮球：用于检测二次供水泵房积水坑水位，干节点输出；工作电源宜采用24V以下交流电源。</w:t>
      </w:r>
    </w:p>
    <w:p w14:paraId="2B5993D0">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⑥电力参数测量仪表：用于检测二次供水泵房各供水分区电压、电流及电量数据。</w:t>
      </w:r>
    </w:p>
    <w:p w14:paraId="4C549213">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盘面安装，LED显示3相4线，精度1.0可检测电压，电流，功率，频率，功率因数，需量，电能通讯：标准2线制RS485接口，Modbus RTU协议</w:t>
      </w:r>
    </w:p>
    <w:p w14:paraId="775C5E3B">
      <w:pPr>
        <w:keepNext w:val="0"/>
        <w:keepLines w:val="0"/>
        <w:pageBreakBefore w:val="0"/>
        <w:widowControl/>
        <w:kinsoku/>
        <w:wordWrap/>
        <w:overflowPunct/>
        <w:topLinePunct w:val="0"/>
        <w:autoSpaceDE/>
        <w:autoSpaceDN/>
        <w:bidi w:val="0"/>
        <w:adjustRightInd/>
        <w:snapToGrid w:val="0"/>
        <w:spacing w:line="400" w:lineRule="exact"/>
        <w:ind w:firstLine="420" w:firstLineChars="200"/>
        <w:contextualSpacing/>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⑦一体型管道式电磁流量计：用于检测二次供水泵房各区出水流量，外壳为不锈钢，食品级不锈钢法兰连接，食品级聚四氟乙烯或</w:t>
      </w:r>
      <w:r>
        <w:rPr>
          <w:rFonts w:hint="eastAsia" w:ascii="宋体" w:hAnsi="宋体" w:eastAsia="宋体" w:cs="宋体"/>
          <w:color w:val="auto"/>
          <w:kern w:val="0"/>
          <w:sz w:val="21"/>
          <w:szCs w:val="21"/>
          <w:highlight w:val="none"/>
        </w:rPr>
        <w:t>氯丁橡胶</w:t>
      </w:r>
      <w:r>
        <w:rPr>
          <w:rFonts w:hint="eastAsia" w:ascii="宋体" w:hAnsi="宋体" w:eastAsia="宋体" w:cs="宋体"/>
          <w:color w:val="auto"/>
          <w:sz w:val="21"/>
          <w:szCs w:val="21"/>
          <w:highlight w:val="none"/>
        </w:rPr>
        <w:t>衬里，哈氏合金或</w:t>
      </w:r>
      <w:r>
        <w:rPr>
          <w:rFonts w:hint="eastAsia" w:ascii="宋体" w:hAnsi="宋体" w:eastAsia="宋体" w:cs="宋体"/>
          <w:color w:val="auto"/>
          <w:kern w:val="0"/>
          <w:sz w:val="21"/>
          <w:szCs w:val="21"/>
          <w:highlight w:val="none"/>
        </w:rPr>
        <w:t>不锈钢316L</w:t>
      </w:r>
      <w:r>
        <w:rPr>
          <w:rFonts w:hint="eastAsia" w:ascii="宋体" w:hAnsi="宋体" w:eastAsia="宋体" w:cs="宋体"/>
          <w:color w:val="auto"/>
          <w:sz w:val="21"/>
          <w:szCs w:val="21"/>
          <w:highlight w:val="none"/>
        </w:rPr>
        <w:t>电极，电源220V，量程及压力等级根据二次供水泵房实际工艺状况选取，测量精度0.5级，重复性：±0.1%；输出：4～20mA电流信号，脉冲输出，频率可调，RS485 Modbus；传感器防护等级IP68，传感器必须单独接地，在传感器的出口和入口要安装接地环，</w:t>
      </w:r>
      <w:r>
        <w:rPr>
          <w:rFonts w:hint="eastAsia" w:ascii="宋体" w:hAnsi="宋体" w:eastAsia="宋体" w:cs="宋体"/>
          <w:color w:val="auto"/>
          <w:sz w:val="21"/>
          <w:szCs w:val="21"/>
          <w:highlight w:val="none"/>
          <w:shd w:val="clear" w:color="auto" w:fill="FFFFFF"/>
        </w:rPr>
        <w:t>接地电阻10Ω以下</w:t>
      </w:r>
      <w:r>
        <w:rPr>
          <w:rFonts w:hint="eastAsia" w:ascii="宋体" w:hAnsi="宋体" w:eastAsia="宋体" w:cs="宋体"/>
          <w:color w:val="auto"/>
          <w:sz w:val="21"/>
          <w:szCs w:val="21"/>
          <w:highlight w:val="none"/>
        </w:rPr>
        <w:t>。显示要求：LCD显示，可自定义计量单位，字母/数字、瞬时流量、累计流量、故障显示。</w:t>
      </w:r>
    </w:p>
    <w:p w14:paraId="24913FB3">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注1：电压电流检测是将每台控制柜进线的三相电压、电流、电量采集至PLC，采用电力仪表通讯方式进行数据采集，但信号必须进入控制系统中。</w:t>
      </w:r>
    </w:p>
    <w:p w14:paraId="2B55DFE7">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2：投标人负责安装液位开关(集水坑)并将信号接入至二次供水控制器中；由于集水坑液位开关信号为二次供水泵站公共信号，投标人在实施过程中根据现场情况将信号接入低区二次供水控制器中，并在图纸中予以说明。</w:t>
      </w:r>
    </w:p>
    <w:p w14:paraId="4A79DBD5">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注3：水箱式二次供水成套设备中，用于检测水箱液位变化的液位开关及超声波液位计均需提供。</w:t>
      </w:r>
    </w:p>
    <w:p w14:paraId="6373ADBB">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注4：用于二次供水各分区出水总管压力检测的压力变送器及电接点压力表均需提供。</w:t>
      </w:r>
    </w:p>
    <w:p w14:paraId="6A177F12">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紫外线消毒器</w:t>
      </w:r>
    </w:p>
    <w:p w14:paraId="63096845">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a、技术标准：</w:t>
      </w:r>
    </w:p>
    <w:p w14:paraId="6897332F">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应符合国家有关技术条件的规定，水泵所用材料的化学成分、机械性能及泵的噪声、振动等应符合国家有关标准或者部颁标准。</w:t>
      </w:r>
    </w:p>
    <w:p w14:paraId="1D25903E">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QB／T 1172-1999 紫外线消毒器</w:t>
      </w:r>
    </w:p>
    <w:p w14:paraId="1D6460A9">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GB/T 19837-2019  城市给排水紫外线消毒设备</w:t>
      </w:r>
    </w:p>
    <w:p w14:paraId="6FC2FABA">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国标图集 14S104 二次供水消毒设备选用与安装标准</w:t>
      </w:r>
    </w:p>
    <w:p w14:paraId="2FE81809">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b、技术要求：</w:t>
      </w:r>
    </w:p>
    <w:p w14:paraId="23CBDB16">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1）消毒器的设计应符合</w:t>
      </w:r>
      <w:r>
        <w:rPr>
          <w:rFonts w:hint="eastAsia" w:ascii="宋体" w:hAnsi="宋体" w:cs="宋体"/>
          <w:color w:val="auto"/>
          <w:sz w:val="21"/>
          <w:szCs w:val="21"/>
          <w:highlight w:val="none"/>
          <w:shd w:val="clear" w:color="auto" w:fill="FFFFFF"/>
          <w:lang w:val="en-US" w:eastAsia="zh-CN"/>
        </w:rPr>
        <w:t>规</w:t>
      </w:r>
      <w:r>
        <w:rPr>
          <w:rFonts w:hint="eastAsia" w:ascii="宋体" w:hAnsi="宋体" w:eastAsia="宋体" w:cs="宋体"/>
          <w:color w:val="auto"/>
          <w:sz w:val="21"/>
          <w:szCs w:val="21"/>
          <w:highlight w:val="none"/>
          <w:shd w:val="clear" w:color="auto" w:fill="FFFFFF"/>
        </w:rPr>
        <w:t>要求，必须采用防紫外辐射和防腐蚀材料。</w:t>
      </w:r>
    </w:p>
    <w:p w14:paraId="1BA6DF33">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2）灯管的布置应使受紫外线照射面上的紫外线强度分布均匀；</w:t>
      </w:r>
    </w:p>
    <w:p w14:paraId="03D31FCC">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3）同一型号消毒器的零部件应保证其互换性。</w:t>
      </w:r>
    </w:p>
    <w:p w14:paraId="1DD855D0">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4）消毒器受紫外线照射面应做抛光处理。</w:t>
      </w:r>
    </w:p>
    <w:p w14:paraId="2D602300">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5）承压简体的工作压力不应小于0.60MPa。试验压力不应小于0.90MPa。</w:t>
      </w:r>
    </w:p>
    <w:p w14:paraId="46699075">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6）消毒器应设有灯管点燃指示、点燃累计时间指示或紫外线辐照强度的相对指示。</w:t>
      </w:r>
    </w:p>
    <w:p w14:paraId="6E39BC2B">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7）灯管应用石英玻璃套管与水隔开，石英套管257.7mm紫外线的透过率应大于85％。</w:t>
      </w:r>
    </w:p>
    <w:p w14:paraId="793141F5">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8）紫外线系统内的紫外灯管和其石英护套设计为浸没在水中。紫外灯管应该与水流方向平行布置以最小化水头损失。</w:t>
      </w:r>
    </w:p>
    <w:p w14:paraId="01E38D71">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9)紫外消毒设备的筒体金属部分应采用304L不锈钢或更高材质。</w:t>
      </w:r>
    </w:p>
    <w:p w14:paraId="0A297FE7">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10)消毒器在额定消毒水量下工作的水头损失应小于0.005MPa。</w:t>
      </w:r>
    </w:p>
    <w:p w14:paraId="12FBB83B">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11)消毒器上应设有进出水管、泄水管、取样管。在消毒器不便安放泄水管时，也可以在与消毒器等同处的连接管路上安装；</w:t>
      </w:r>
    </w:p>
    <w:p w14:paraId="4A2F165D">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12)消毒器选用的低压电器应符合相应产品的技术要求；</w:t>
      </w:r>
    </w:p>
    <w:p w14:paraId="37FEAA7F">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13)按本标准的使用条件，在额定消毒水量下工作，出水的细菌学指标应符合GB5749《</w:t>
      </w: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"https://baike.so.com/doc/5399558-5637074.html" \t "_blank"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生活饮用水卫生标准</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t>》要求；</w:t>
      </w:r>
    </w:p>
    <w:p w14:paraId="08816DFF">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14)消毒器材料应符合GB/T17219《生活饮用水输配水设备及防护材料的安全性评价标准》要求;</w:t>
      </w:r>
    </w:p>
    <w:p w14:paraId="359E6BA0">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15)按本标准的使用条件，在额定消毒水量下工作，出水的细菌学指标应符合GB5749</w:t>
      </w:r>
      <w:r>
        <w:rPr>
          <w:rFonts w:hint="eastAsia" w:ascii="宋体" w:hAnsi="宋体" w:eastAsia="宋体" w:cs="宋体"/>
          <w:color w:val="auto"/>
          <w:sz w:val="21"/>
          <w:szCs w:val="21"/>
          <w:highlight w:val="none"/>
          <w:shd w:val="clear" w:color="auto" w:fill="FFFFFF"/>
          <w:lang w:val="en-US" w:eastAsia="zh-CN"/>
        </w:rPr>
        <w:t>-2022</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"https://baike.so.com/doc/5399558-5637074.html" \t "_blank"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生活饮用水卫生标准</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t>》要求；</w:t>
      </w:r>
    </w:p>
    <w:p w14:paraId="6E53D4C4">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16）消毒器设备应符合GB/T19837-2019《城市给排水紫外线消毒设备》标定规定要求，</w:t>
      </w:r>
    </w:p>
    <w:p w14:paraId="669F17BB">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17）每台设备应在规定的位置上固定标牌，内容包括：制造厂名、设备名称、产品型号或标记、商标、制造日期或产品批号（编号）、消毒水量、电源电压、电耗、结构质量等。</w:t>
      </w:r>
    </w:p>
    <w:p w14:paraId="4F65FD47">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⑧电动执行器：外壳防护等级IP67；电机独立转轴设计，工作电压为AC380V/50HZ</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电机必须带有热敏开关作电机过热保护；电动机绝缘等级为F级。传动齿轮：电动执行器传动齿轮采用三行星齿轮传动系统，效率不小于95%。电动执行机构在开/关位置和开/关方向中设有过力矩微动开关为银触点的DPDT开关，防护等级为IP67。电动执行器能提供机械位置指示，无论手动、电动都能指示阀门的开度。电动执行器内部需要有防冷凝加热器。执行器配置手轮，附带手动离合切换装置（为保护设备和人身安全），通电状态下电机优先。在故障时通过手轮开关阀门，手轮上具有“开/关”箭头指示和文字标示。 电动时“手/自动”切换开关无需人为切换，自行转电动状态。控制器具有“现场-关-远程”转换开关。 控制面板包括“开”、“停”、“关”控制按扭，采用非侵入触摸设计。控制面板包括开”、“停”、“关”、“电源”、“故障”指示灯。 电子控制器具有电机正反转接触器。 电子控制器内置变压器。电子控制器主控板为微处理器CPU芯片，可改变内部控制程序来改变其设定。接收PLC系统的“4～20毫安控制信号”。提供给PLC系统信号有“开/关/故障反馈信号AC220V接点”并带“4～20毫安信号。</w:t>
      </w:r>
    </w:p>
    <w:p w14:paraId="08CAE3A4">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能与高水位报警信号联动，超过设定报警水位延时60s即关闭电动调节阀，并依次接入低区至高区控制柜。</w:t>
      </w:r>
    </w:p>
    <w:p w14:paraId="6C1B9BE0">
      <w:pPr>
        <w:keepNext w:val="0"/>
        <w:keepLines w:val="0"/>
        <w:pageBreakBefore w:val="0"/>
        <w:widowControl w:val="0"/>
        <w:kinsoku/>
        <w:wordWrap/>
        <w:overflowPunct/>
        <w:topLinePunct w:val="0"/>
        <w:autoSpaceDE/>
        <w:autoSpaceDN/>
        <w:bidi w:val="0"/>
        <w:adjustRightInd/>
        <w:snapToGrid w:val="0"/>
        <w:spacing w:line="400" w:lineRule="exact"/>
        <w:ind w:left="0" w:firstLine="422" w:firstLineChars="20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7</w:t>
      </w:r>
      <w:r>
        <w:rPr>
          <w:rFonts w:hint="eastAsia" w:ascii="宋体" w:hAnsi="宋体" w:eastAsia="宋体" w:cs="宋体"/>
          <w:b/>
          <w:color w:val="auto"/>
          <w:sz w:val="21"/>
          <w:szCs w:val="21"/>
          <w:highlight w:val="none"/>
          <w:lang w:eastAsia="zh-CN"/>
        </w:rPr>
        <w:t>）控制柜（每套设备应独立设置控制柜）</w:t>
      </w:r>
    </w:p>
    <w:p w14:paraId="1BC816B9">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控制柜应符合现行国家标准的规定；同一泵房控制柜大小一致，柜体的外形尺寸符合《高度进制为20mm的面板、架和柜的基本尺寸系列》GB/T 3047.1</w:t>
      </w:r>
      <w:r>
        <w:rPr>
          <w:rFonts w:hint="eastAsia" w:ascii="宋体" w:hAnsi="宋体" w:eastAsia="宋体" w:cs="宋体"/>
          <w:color w:val="auto"/>
          <w:sz w:val="21"/>
          <w:szCs w:val="21"/>
          <w:highlight w:val="none"/>
          <w:shd w:val="clear" w:color="auto" w:fill="FFFFFF"/>
          <w:lang w:val="en-US" w:eastAsia="zh-CN"/>
        </w:rPr>
        <w:t>-1995</w:t>
      </w:r>
      <w:r>
        <w:rPr>
          <w:rFonts w:hint="eastAsia" w:ascii="宋体" w:hAnsi="宋体" w:eastAsia="宋体" w:cs="宋体"/>
          <w:color w:val="auto"/>
          <w:sz w:val="21"/>
          <w:szCs w:val="21"/>
          <w:highlight w:val="none"/>
          <w:shd w:val="clear" w:color="auto" w:fill="FFFFFF"/>
        </w:rPr>
        <w:t>的规定，并能满足电器元件的安装间距。</w:t>
      </w:r>
    </w:p>
    <w:p w14:paraId="754F6DFB">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①控制柜靠墙安装，柜顶上装有散热风扇，可强制散热。钢板壁厚≥2㎜，表面静电喷涂处理。柜体内设有排风散热风扇与自动启闭装置联动。柜体内设有照明装置，并与柜门启闭装置联动，便于检修。防护等级达到GB4028中IP55以上，所有线缆从底部进入控制柜。柜体顶部加装吊环,柜门装设加强筋并配锁。控制柜面板：设置三相进线电流表（数字式）、三相进线电压表（数字式），水泵工作状态显示灯，故障显示灯，手/自动转换开关，手动开、停水泵按钮及触摸屏、故障声光报警指示灯显示，指示灯及按钮按规定选择。</w:t>
      </w:r>
    </w:p>
    <w:p w14:paraId="5BBD8630">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②电气间隙与爬电距离：设备中带电电路之间以及带电零部件或接地零部件的电气间隙和爬地距离应符合</w:t>
      </w:r>
      <w:r>
        <w:rPr>
          <w:rFonts w:hint="eastAsia" w:ascii="宋体" w:hAnsi="宋体" w:cs="宋体"/>
          <w:color w:val="auto"/>
          <w:sz w:val="21"/>
          <w:szCs w:val="21"/>
          <w:highlight w:val="none"/>
          <w:shd w:val="clear" w:color="auto" w:fill="FFFFFF"/>
          <w:lang w:val="en-US" w:eastAsia="zh-CN"/>
        </w:rPr>
        <w:t>国标要求</w:t>
      </w:r>
      <w:r>
        <w:rPr>
          <w:rFonts w:hint="eastAsia" w:ascii="宋体" w:hAnsi="宋体" w:eastAsia="宋体" w:cs="宋体"/>
          <w:color w:val="auto"/>
          <w:sz w:val="21"/>
          <w:szCs w:val="21"/>
          <w:highlight w:val="none"/>
          <w:shd w:val="clear" w:color="auto" w:fill="FFFFFF"/>
        </w:rPr>
        <w:t>规定。</w:t>
      </w:r>
    </w:p>
    <w:p w14:paraId="5EB4B7DE">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③绝缘电组与介电强度：设备中带电回路之间及带电回路和地之间的绝缘电阻应符合</w:t>
      </w:r>
      <w:r>
        <w:rPr>
          <w:rFonts w:hint="eastAsia" w:ascii="宋体" w:hAnsi="宋体" w:cs="宋体"/>
          <w:color w:val="auto"/>
          <w:sz w:val="21"/>
          <w:szCs w:val="21"/>
          <w:highlight w:val="none"/>
          <w:shd w:val="clear" w:color="auto" w:fill="FFFFFF"/>
          <w:lang w:val="en-US" w:eastAsia="zh-CN"/>
        </w:rPr>
        <w:t>国标要求</w:t>
      </w:r>
      <w:r>
        <w:rPr>
          <w:rFonts w:hint="eastAsia" w:ascii="宋体" w:hAnsi="宋体" w:eastAsia="宋体" w:cs="宋体"/>
          <w:color w:val="auto"/>
          <w:sz w:val="21"/>
          <w:szCs w:val="21"/>
          <w:highlight w:val="none"/>
          <w:shd w:val="clear" w:color="auto" w:fill="FFFFFF"/>
        </w:rPr>
        <w:t>规定；介电强度应符合</w:t>
      </w:r>
      <w:r>
        <w:rPr>
          <w:rFonts w:hint="eastAsia" w:ascii="宋体" w:hAnsi="宋体" w:cs="宋体"/>
          <w:color w:val="auto"/>
          <w:sz w:val="21"/>
          <w:szCs w:val="21"/>
          <w:highlight w:val="none"/>
          <w:shd w:val="clear" w:color="auto" w:fill="FFFFFF"/>
          <w:lang w:val="en-US" w:eastAsia="zh-CN"/>
        </w:rPr>
        <w:t>国标要求</w:t>
      </w:r>
      <w:r>
        <w:rPr>
          <w:rFonts w:hint="eastAsia" w:ascii="宋体" w:hAnsi="宋体" w:eastAsia="宋体" w:cs="宋体"/>
          <w:color w:val="auto"/>
          <w:sz w:val="21"/>
          <w:szCs w:val="21"/>
          <w:highlight w:val="none"/>
          <w:shd w:val="clear" w:color="auto" w:fill="FFFFFF"/>
        </w:rPr>
        <w:t>规定。</w:t>
      </w:r>
    </w:p>
    <w:p w14:paraId="0BBC435C">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④安全接地及防雷：设备的金属构体上应设置接地点，与接地点相连接的保护导线的截面，应</w:t>
      </w:r>
      <w:r>
        <w:rPr>
          <w:rFonts w:hint="eastAsia" w:ascii="宋体" w:hAnsi="宋体" w:eastAsia="宋体" w:cs="宋体"/>
          <w:color w:val="auto"/>
          <w:sz w:val="21"/>
          <w:szCs w:val="21"/>
          <w:highlight w:val="none"/>
        </w:rPr>
        <w:t>与设备导体截面积相同，</w:t>
      </w:r>
      <w:r>
        <w:rPr>
          <w:rFonts w:hint="eastAsia" w:ascii="宋体" w:hAnsi="宋体" w:eastAsia="宋体" w:cs="宋体"/>
          <w:color w:val="auto"/>
          <w:sz w:val="21"/>
          <w:szCs w:val="21"/>
          <w:highlight w:val="none"/>
          <w:u w:val="single"/>
        </w:rPr>
        <w:t>按30*4mm接地铜排以上配置</w:t>
      </w:r>
      <w:r>
        <w:rPr>
          <w:rFonts w:hint="eastAsia" w:ascii="宋体" w:hAnsi="宋体" w:eastAsia="宋体" w:cs="宋体"/>
          <w:color w:val="auto"/>
          <w:sz w:val="21"/>
          <w:szCs w:val="21"/>
          <w:highlight w:val="none"/>
        </w:rPr>
        <w:t>。与接地点连接的导线必须是黄、绿双色线。不能明显表明的接地点，应在附近标注明显的接地符号。主接地点与设备任何有关的、因绝缘损坏可能带电的金属之间的电阻不应超过0.1Ω，连接接地线的螺钉和接线点不得作其他机械紧固用。控制柜应有可靠的防雷措施。</w:t>
      </w:r>
    </w:p>
    <w:p w14:paraId="0EE5A99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⑤控制柜在5.9m/s(0.6G)震动下可正常工作。抗电磁干扰性能符合IEC255-22标准规定。</w:t>
      </w:r>
    </w:p>
    <w:p w14:paraId="3D7B40B2">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⑥控制柜的内部结构布置必须严格按系统图、国家标准及地方规范执行；内部接线应排列整齐、清晰和美观，绑扎成束或敷于专用塑料槽内卡在安装架上；配线应考虑足够的余量。</w:t>
      </w:r>
    </w:p>
    <w:p w14:paraId="708AB8A9">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⑦控制柜门内侧必须贴有电气原理图，采用塑封防水密封。</w:t>
      </w:r>
    </w:p>
    <w:p w14:paraId="7A74BEC2">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⑧中性线母排和接地母排的电流容量必须经过计算且足够大；箱内电器元件的上方标志该元件的文字符号，各电路的导线端头应标志相应的文字符号。所有的文字符号应与提供的线路图、系统图上的文字符号一致。所使用的图形和符号应符合相应的国家标准。</w:t>
      </w:r>
    </w:p>
    <w:p w14:paraId="56F770A9">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⑨柜门、盖、覆板必须与保护电路可靠连接；柜内保护导体颜色符合规定；支撑固定导体的绝缘子外表不得有裂纹或缺损；二次配线应使用铜芯绝缘软线。其截面应不小于：电流回路2.5mm2，控制回路1.0mm2导线。本工程采用TN-S系统供电，PE、N线端子采用方铜端子。控制柜内的铜母线应有彩色分相标志，按下表规定布置。</w:t>
      </w:r>
    </w:p>
    <w:tbl>
      <w:tblPr>
        <w:tblStyle w:val="34"/>
        <w:tblW w:w="0" w:type="auto"/>
        <w:tblInd w:w="5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996"/>
        <w:gridCol w:w="1581"/>
        <w:gridCol w:w="1629"/>
        <w:gridCol w:w="1582"/>
      </w:tblGrid>
      <w:tr w14:paraId="31C9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42" w:type="dxa"/>
            <w:vMerge w:val="restart"/>
            <w:noWrap w:val="0"/>
            <w:vAlign w:val="center"/>
          </w:tcPr>
          <w:p w14:paraId="39887A26">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相别</w:t>
            </w:r>
          </w:p>
        </w:tc>
        <w:tc>
          <w:tcPr>
            <w:tcW w:w="996" w:type="dxa"/>
            <w:vMerge w:val="restart"/>
            <w:noWrap w:val="0"/>
            <w:vAlign w:val="center"/>
          </w:tcPr>
          <w:p w14:paraId="64EB6F7A">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色标</w:t>
            </w:r>
          </w:p>
        </w:tc>
        <w:tc>
          <w:tcPr>
            <w:tcW w:w="4792" w:type="dxa"/>
            <w:gridSpan w:val="3"/>
            <w:noWrap w:val="0"/>
            <w:vAlign w:val="center"/>
          </w:tcPr>
          <w:p w14:paraId="08BAA993">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母线安装位置</w:t>
            </w:r>
          </w:p>
        </w:tc>
      </w:tr>
      <w:tr w14:paraId="4F2F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342" w:type="dxa"/>
            <w:vMerge w:val="continue"/>
            <w:noWrap w:val="0"/>
            <w:vAlign w:val="center"/>
          </w:tcPr>
          <w:p w14:paraId="4F35D5F0">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p>
        </w:tc>
        <w:tc>
          <w:tcPr>
            <w:tcW w:w="996" w:type="dxa"/>
            <w:vMerge w:val="continue"/>
            <w:noWrap w:val="0"/>
            <w:vAlign w:val="center"/>
          </w:tcPr>
          <w:p w14:paraId="7757F66A">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p>
        </w:tc>
        <w:tc>
          <w:tcPr>
            <w:tcW w:w="1581" w:type="dxa"/>
            <w:noWrap w:val="0"/>
            <w:vAlign w:val="center"/>
          </w:tcPr>
          <w:p w14:paraId="73B21EFE">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垂直安装</w:t>
            </w:r>
          </w:p>
        </w:tc>
        <w:tc>
          <w:tcPr>
            <w:tcW w:w="1629" w:type="dxa"/>
            <w:noWrap w:val="0"/>
            <w:vAlign w:val="center"/>
          </w:tcPr>
          <w:p w14:paraId="310F207A">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水平安装</w:t>
            </w:r>
          </w:p>
        </w:tc>
        <w:tc>
          <w:tcPr>
            <w:tcW w:w="1582" w:type="dxa"/>
            <w:noWrap w:val="0"/>
            <w:vAlign w:val="center"/>
          </w:tcPr>
          <w:p w14:paraId="04235D5B">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引下线</w:t>
            </w:r>
          </w:p>
        </w:tc>
      </w:tr>
      <w:tr w14:paraId="513A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noWrap w:val="0"/>
            <w:vAlign w:val="center"/>
          </w:tcPr>
          <w:p w14:paraId="07541838">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L1</w:t>
            </w:r>
          </w:p>
        </w:tc>
        <w:tc>
          <w:tcPr>
            <w:tcW w:w="996" w:type="dxa"/>
            <w:noWrap w:val="0"/>
            <w:vAlign w:val="center"/>
          </w:tcPr>
          <w:p w14:paraId="483FC41B">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黄</w:t>
            </w:r>
          </w:p>
        </w:tc>
        <w:tc>
          <w:tcPr>
            <w:tcW w:w="1581" w:type="dxa"/>
            <w:noWrap w:val="0"/>
            <w:vAlign w:val="center"/>
          </w:tcPr>
          <w:p w14:paraId="1B552CBB">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w:t>
            </w:r>
          </w:p>
        </w:tc>
        <w:tc>
          <w:tcPr>
            <w:tcW w:w="1629" w:type="dxa"/>
            <w:noWrap w:val="0"/>
            <w:vAlign w:val="center"/>
          </w:tcPr>
          <w:p w14:paraId="04353B61">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后（内）</w:t>
            </w:r>
          </w:p>
        </w:tc>
        <w:tc>
          <w:tcPr>
            <w:tcW w:w="1582" w:type="dxa"/>
            <w:noWrap w:val="0"/>
            <w:vAlign w:val="center"/>
          </w:tcPr>
          <w:p w14:paraId="053863B3">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左</w:t>
            </w:r>
          </w:p>
        </w:tc>
      </w:tr>
      <w:tr w14:paraId="2AF5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noWrap w:val="0"/>
            <w:vAlign w:val="center"/>
          </w:tcPr>
          <w:p w14:paraId="12CAC7DA">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L2</w:t>
            </w:r>
          </w:p>
        </w:tc>
        <w:tc>
          <w:tcPr>
            <w:tcW w:w="996" w:type="dxa"/>
            <w:noWrap w:val="0"/>
            <w:vAlign w:val="center"/>
          </w:tcPr>
          <w:p w14:paraId="3B2379F9">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绿</w:t>
            </w:r>
          </w:p>
        </w:tc>
        <w:tc>
          <w:tcPr>
            <w:tcW w:w="1581" w:type="dxa"/>
            <w:noWrap w:val="0"/>
            <w:vAlign w:val="center"/>
          </w:tcPr>
          <w:p w14:paraId="428A631C">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w:t>
            </w:r>
          </w:p>
        </w:tc>
        <w:tc>
          <w:tcPr>
            <w:tcW w:w="1629" w:type="dxa"/>
            <w:noWrap w:val="0"/>
            <w:vAlign w:val="center"/>
          </w:tcPr>
          <w:p w14:paraId="7273A06D">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w:t>
            </w:r>
          </w:p>
        </w:tc>
        <w:tc>
          <w:tcPr>
            <w:tcW w:w="1582" w:type="dxa"/>
            <w:noWrap w:val="0"/>
            <w:vAlign w:val="center"/>
          </w:tcPr>
          <w:p w14:paraId="70D797C2">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w:t>
            </w:r>
          </w:p>
        </w:tc>
      </w:tr>
      <w:tr w14:paraId="5ADB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noWrap w:val="0"/>
            <w:vAlign w:val="center"/>
          </w:tcPr>
          <w:p w14:paraId="6442A53F">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L3</w:t>
            </w:r>
          </w:p>
        </w:tc>
        <w:tc>
          <w:tcPr>
            <w:tcW w:w="996" w:type="dxa"/>
            <w:noWrap w:val="0"/>
            <w:vAlign w:val="center"/>
          </w:tcPr>
          <w:p w14:paraId="210821AE">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红</w:t>
            </w:r>
          </w:p>
        </w:tc>
        <w:tc>
          <w:tcPr>
            <w:tcW w:w="1581" w:type="dxa"/>
            <w:noWrap w:val="0"/>
            <w:vAlign w:val="center"/>
          </w:tcPr>
          <w:p w14:paraId="54452F93">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下</w:t>
            </w:r>
          </w:p>
        </w:tc>
        <w:tc>
          <w:tcPr>
            <w:tcW w:w="1629" w:type="dxa"/>
            <w:noWrap w:val="0"/>
            <w:vAlign w:val="center"/>
          </w:tcPr>
          <w:p w14:paraId="3D29C0AA">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前（外）</w:t>
            </w:r>
          </w:p>
        </w:tc>
        <w:tc>
          <w:tcPr>
            <w:tcW w:w="1582" w:type="dxa"/>
            <w:noWrap w:val="0"/>
            <w:vAlign w:val="center"/>
          </w:tcPr>
          <w:p w14:paraId="4D7E9726">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右</w:t>
            </w:r>
          </w:p>
        </w:tc>
      </w:tr>
      <w:tr w14:paraId="1E10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noWrap w:val="0"/>
            <w:vAlign w:val="center"/>
          </w:tcPr>
          <w:p w14:paraId="07729510">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N</w:t>
            </w:r>
          </w:p>
        </w:tc>
        <w:tc>
          <w:tcPr>
            <w:tcW w:w="996" w:type="dxa"/>
            <w:noWrap w:val="0"/>
            <w:vAlign w:val="center"/>
          </w:tcPr>
          <w:p w14:paraId="679D58CB">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淡蓝</w:t>
            </w:r>
          </w:p>
        </w:tc>
        <w:tc>
          <w:tcPr>
            <w:tcW w:w="1581" w:type="dxa"/>
            <w:noWrap w:val="0"/>
            <w:vAlign w:val="center"/>
          </w:tcPr>
          <w:p w14:paraId="644122A3">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最下</w:t>
            </w:r>
          </w:p>
        </w:tc>
        <w:tc>
          <w:tcPr>
            <w:tcW w:w="1629" w:type="dxa"/>
            <w:noWrap w:val="0"/>
            <w:vAlign w:val="center"/>
          </w:tcPr>
          <w:p w14:paraId="2EE044D4">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最外</w:t>
            </w:r>
          </w:p>
        </w:tc>
        <w:tc>
          <w:tcPr>
            <w:tcW w:w="1582" w:type="dxa"/>
            <w:noWrap w:val="0"/>
            <w:vAlign w:val="center"/>
          </w:tcPr>
          <w:p w14:paraId="3747C5E5">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最右</w:t>
            </w:r>
          </w:p>
        </w:tc>
      </w:tr>
      <w:tr w14:paraId="55F0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2" w:type="dxa"/>
            <w:noWrap w:val="0"/>
            <w:vAlign w:val="center"/>
          </w:tcPr>
          <w:p w14:paraId="37F14515">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PE</w:t>
            </w:r>
          </w:p>
        </w:tc>
        <w:tc>
          <w:tcPr>
            <w:tcW w:w="996" w:type="dxa"/>
            <w:noWrap w:val="0"/>
            <w:vAlign w:val="center"/>
          </w:tcPr>
          <w:p w14:paraId="29BBC03F">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绿/黄</w:t>
            </w:r>
          </w:p>
        </w:tc>
        <w:tc>
          <w:tcPr>
            <w:tcW w:w="1581" w:type="dxa"/>
            <w:noWrap w:val="0"/>
            <w:vAlign w:val="center"/>
          </w:tcPr>
          <w:p w14:paraId="41FE60C7">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p>
        </w:tc>
        <w:tc>
          <w:tcPr>
            <w:tcW w:w="1629" w:type="dxa"/>
            <w:noWrap w:val="0"/>
            <w:vAlign w:val="center"/>
          </w:tcPr>
          <w:p w14:paraId="4E01772A">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p>
        </w:tc>
        <w:tc>
          <w:tcPr>
            <w:tcW w:w="1582" w:type="dxa"/>
            <w:noWrap w:val="0"/>
            <w:vAlign w:val="center"/>
          </w:tcPr>
          <w:p w14:paraId="6656D935">
            <w:pPr>
              <w:keepNext w:val="0"/>
              <w:keepLines w:val="0"/>
              <w:pageBreakBefore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1"/>
                <w:szCs w:val="21"/>
                <w:highlight w:val="none"/>
              </w:rPr>
            </w:pPr>
          </w:p>
        </w:tc>
      </w:tr>
    </w:tbl>
    <w:p w14:paraId="7E6E299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⑩为了有效地防止控制柜内因环境潮湿产生水珠而影响电器寿命，控制柜需具有加热去湿功能：加热元件采用具有自动调节并限制温度功能的热敏电阻，热敏电阻的散热体采用阳极氧化铝合金。加热去湿控制器采用具有温湿度检测功能的自动加热去湿控制器。加热元件及加热去湿控制器采用导轨式安装。 </w:t>
      </w:r>
    </w:p>
    <w:p w14:paraId="0BE891D9">
      <w:pPr>
        <w:keepNext w:val="0"/>
        <w:keepLines w:val="0"/>
        <w:pageBreakBefore w:val="0"/>
        <w:widowControl w:val="0"/>
        <w:kinsoku/>
        <w:wordWrap/>
        <w:overflowPunct/>
        <w:topLinePunct w:val="0"/>
        <w:autoSpaceDE/>
        <w:autoSpaceDN/>
        <w:bidi w:val="0"/>
        <w:adjustRightInd/>
        <w:snapToGrid w:val="0"/>
        <w:spacing w:line="400" w:lineRule="exact"/>
        <w:ind w:left="0" w:firstLine="422" w:firstLineChars="20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（8）双电源配电柜技术要求：</w:t>
      </w:r>
    </w:p>
    <w:p w14:paraId="174AE6A5">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kern w:val="36"/>
          <w:sz w:val="21"/>
          <w:szCs w:val="21"/>
          <w:highlight w:val="none"/>
        </w:rPr>
      </w:pPr>
      <w:r>
        <w:rPr>
          <w:rFonts w:hint="eastAsia" w:ascii="宋体" w:hAnsi="宋体" w:eastAsia="宋体" w:cs="宋体"/>
          <w:color w:val="auto"/>
          <w:kern w:val="36"/>
          <w:sz w:val="21"/>
          <w:szCs w:val="21"/>
          <w:highlight w:val="none"/>
        </w:rPr>
        <w:t>泵房采用双路电源供电并在末端设自动切换装置。</w:t>
      </w:r>
    </w:p>
    <w:p w14:paraId="03D1190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①双电源进线需采取三相五线制（接地电阻小于4欧姆）。</w:t>
      </w:r>
    </w:p>
    <w:p w14:paraId="3C85D115">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kern w:val="36"/>
          <w:sz w:val="21"/>
          <w:szCs w:val="21"/>
          <w:highlight w:val="none"/>
        </w:rPr>
      </w:pPr>
      <w:r>
        <w:rPr>
          <w:rFonts w:hint="eastAsia" w:ascii="宋体" w:hAnsi="宋体" w:eastAsia="宋体" w:cs="宋体"/>
          <w:color w:val="auto"/>
          <w:sz w:val="21"/>
          <w:szCs w:val="21"/>
          <w:highlight w:val="none"/>
        </w:rPr>
        <w:t>②</w:t>
      </w:r>
      <w:r>
        <w:rPr>
          <w:rFonts w:hint="eastAsia" w:ascii="宋体" w:hAnsi="宋体" w:eastAsia="宋体" w:cs="宋体"/>
          <w:color w:val="auto"/>
          <w:kern w:val="36"/>
          <w:sz w:val="21"/>
          <w:szCs w:val="21"/>
          <w:highlight w:val="none"/>
        </w:rPr>
        <w:t>低压元器件：应注明数量、品牌、型号,采用清单列表。不得少于下述数量：双电源配电柜1台，双电源转换开关1只，进线隔离开关2只，进线空开（3p）2只，分区控制柜电源空开（3p）按分区数配置。</w:t>
      </w:r>
    </w:p>
    <w:p w14:paraId="50F2AE7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kern w:val="36"/>
          <w:sz w:val="21"/>
          <w:szCs w:val="21"/>
          <w:highlight w:val="none"/>
        </w:rPr>
      </w:pPr>
      <w:r>
        <w:rPr>
          <w:rFonts w:hint="eastAsia" w:ascii="宋体" w:hAnsi="宋体" w:eastAsia="宋体" w:cs="宋体"/>
          <w:color w:val="auto"/>
          <w:kern w:val="36"/>
          <w:sz w:val="21"/>
          <w:szCs w:val="21"/>
          <w:highlight w:val="none"/>
        </w:rPr>
        <w:t>③</w:t>
      </w:r>
      <w:r>
        <w:rPr>
          <w:rFonts w:hint="eastAsia" w:ascii="宋体" w:hAnsi="宋体" w:eastAsia="宋体" w:cs="宋体"/>
          <w:b/>
          <w:bCs/>
          <w:color w:val="auto"/>
          <w:kern w:val="36"/>
          <w:sz w:val="21"/>
          <w:szCs w:val="21"/>
          <w:highlight w:val="none"/>
        </w:rPr>
        <w:t>配电柜防护等级达到 IP55 及以上等级，</w:t>
      </w:r>
      <w:r>
        <w:rPr>
          <w:rFonts w:hint="eastAsia" w:ascii="宋体" w:hAnsi="宋体" w:eastAsia="宋体" w:cs="宋体"/>
          <w:color w:val="auto"/>
          <w:kern w:val="36"/>
          <w:sz w:val="21"/>
          <w:szCs w:val="21"/>
          <w:highlight w:val="none"/>
        </w:rPr>
        <w:t>所有线缆从底部进入双电源配电柜。</w:t>
      </w:r>
    </w:p>
    <w:p w14:paraId="71A19E2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kern w:val="36"/>
          <w:sz w:val="21"/>
          <w:szCs w:val="21"/>
          <w:highlight w:val="none"/>
        </w:rPr>
      </w:pPr>
      <w:r>
        <w:rPr>
          <w:rFonts w:hint="eastAsia" w:ascii="宋体" w:hAnsi="宋体" w:eastAsia="宋体" w:cs="宋体"/>
          <w:color w:val="auto"/>
          <w:kern w:val="36"/>
          <w:sz w:val="21"/>
          <w:szCs w:val="21"/>
          <w:highlight w:val="none"/>
        </w:rPr>
        <w:t>④双电源转换开关应符合 IEC60947-1或GB/T14048.1最新标准技术要求，且具备15s以上延时功能。</w:t>
      </w:r>
    </w:p>
    <w:p w14:paraId="3FD05D86">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(9)电力电缆、控制电缆及信号电缆：</w:t>
      </w:r>
    </w:p>
    <w:p w14:paraId="3664BBE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泵房内所有电力电缆及控制</w:t>
      </w:r>
      <w:bookmarkStart w:id="3" w:name="OLE_LINK16"/>
      <w:r>
        <w:rPr>
          <w:rFonts w:hint="eastAsia" w:ascii="宋体" w:hAnsi="宋体" w:eastAsia="宋体" w:cs="宋体"/>
          <w:color w:val="auto"/>
          <w:sz w:val="21"/>
          <w:szCs w:val="21"/>
          <w:highlight w:val="none"/>
        </w:rPr>
        <w:t>信号</w:t>
      </w:r>
      <w:bookmarkEnd w:id="3"/>
      <w:r>
        <w:rPr>
          <w:rFonts w:hint="eastAsia" w:ascii="宋体" w:hAnsi="宋体" w:eastAsia="宋体" w:cs="宋体"/>
          <w:color w:val="auto"/>
          <w:sz w:val="21"/>
          <w:szCs w:val="21"/>
          <w:highlight w:val="none"/>
        </w:rPr>
        <w:t>电缆均由</w:t>
      </w:r>
      <w:r>
        <w:rPr>
          <w:rFonts w:hint="eastAsia" w:ascii="宋体" w:hAnsi="宋体" w:eastAsia="宋体" w:cs="宋体"/>
          <w:color w:val="auto"/>
          <w:sz w:val="21"/>
          <w:szCs w:val="21"/>
          <w:highlight w:val="none"/>
          <w:lang w:val="en-US" w:eastAsia="zh-CN"/>
        </w:rPr>
        <w:t>施工单位</w:t>
      </w:r>
      <w:r>
        <w:rPr>
          <w:rFonts w:hint="eastAsia" w:ascii="宋体" w:hAnsi="宋体" w:eastAsia="宋体" w:cs="宋体"/>
          <w:color w:val="auto"/>
          <w:sz w:val="21"/>
          <w:szCs w:val="21"/>
          <w:highlight w:val="none"/>
        </w:rPr>
        <w:t>负责。电力电缆和控制信号电缆的选择与敷设应满足以下要求（未尽事宜参见现行标准GB 50217及GB50054的规定）：</w:t>
      </w:r>
    </w:p>
    <w:p w14:paraId="643CFCD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1)动力电缆的要求</w:t>
      </w:r>
    </w:p>
    <w:p w14:paraId="3E58E8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①动力连接线不得采用电线联接，应采用多芯电缆联接；</w:t>
      </w:r>
    </w:p>
    <w:p w14:paraId="5A240D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②动力电缆应采用铜芯电缆；</w:t>
      </w:r>
    </w:p>
    <w:p w14:paraId="3167BC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③动力电缆的截面积应按电机长期工作工况选择，并应考虑变频谐波电流的影响；</w:t>
      </w:r>
    </w:p>
    <w:p w14:paraId="735E08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④动力电缆最小载面积应满足短路热稳定校验；</w:t>
      </w:r>
    </w:p>
    <w:p w14:paraId="7E485C3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⑤动力电缆绝缘耐压不得低于0.6/1kV；</w:t>
      </w:r>
    </w:p>
    <w:p w14:paraId="347DA6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⑥动力电缆中间不得有接头；</w:t>
      </w:r>
    </w:p>
    <w:p w14:paraId="25C279E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⑦电机电缆宜使用变频电缆（铠装电缆或屏蔽电缆）；</w:t>
      </w:r>
    </w:p>
    <w:p w14:paraId="6B042E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⑧电机电缆长度不得超过变频器厂家规定的最长使用长度。</w:t>
      </w:r>
    </w:p>
    <w:p w14:paraId="2A4E0A8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2)控制电缆的要求</w:t>
      </w:r>
    </w:p>
    <w:p w14:paraId="35A75D2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①控制电缆应采用铜芯电缆；</w:t>
      </w:r>
    </w:p>
    <w:p w14:paraId="01AA5FA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②不同电压等级的信号、控制回路不应合用一根电缆;</w:t>
      </w:r>
    </w:p>
    <w:p w14:paraId="68C1727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③弱电回路每一对往返导线，应属于同一根电缆；</w:t>
      </w:r>
    </w:p>
    <w:p w14:paraId="67EAF9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④开关量信号宜选用总屏蔽电缆；</w:t>
      </w:r>
    </w:p>
    <w:p w14:paraId="0E7421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⑤模拟量信号宜选用对绞线芯分屏蔽复合总屏蔽电缆；</w:t>
      </w:r>
    </w:p>
    <w:p w14:paraId="5D6F0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⑥强电控制回路导体载面积不应小于1.5mm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,弱电控制回路导体载面积不应小于1.0mm</w:t>
      </w:r>
      <w:r>
        <w:rPr>
          <w:rFonts w:hint="eastAsia" w:ascii="宋体" w:hAnsi="宋体" w:eastAsia="宋体" w:cs="宋体"/>
          <w:color w:val="auto"/>
          <w:sz w:val="21"/>
          <w:szCs w:val="21"/>
          <w:highlight w:val="none"/>
          <w:vertAlign w:val="superscript"/>
        </w:rPr>
        <w:t>2</w:t>
      </w:r>
      <w:r>
        <w:rPr>
          <w:rFonts w:hint="eastAsia" w:ascii="宋体" w:hAnsi="宋体" w:eastAsia="宋体" w:cs="宋体"/>
          <w:color w:val="auto"/>
          <w:sz w:val="21"/>
          <w:szCs w:val="21"/>
          <w:highlight w:val="none"/>
        </w:rPr>
        <w:t>；</w:t>
      </w:r>
    </w:p>
    <w:p w14:paraId="72E804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⑦控制及信号电缆宜选用450/750V额定电压等级电缆；</w:t>
      </w:r>
    </w:p>
    <w:p w14:paraId="62D42EF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⑧控制、信号电缆中间不得有接头。</w:t>
      </w:r>
    </w:p>
    <w:p w14:paraId="336308D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3)电缆敷设的要求</w:t>
      </w:r>
    </w:p>
    <w:p w14:paraId="11EDA56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①满足安全要求条件下，应保证电缆路径最短；</w:t>
      </w:r>
    </w:p>
    <w:p w14:paraId="66DA9D8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②应便于敷设、维护；</w:t>
      </w:r>
    </w:p>
    <w:p w14:paraId="095E04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③应避免电缆遭受机械性外力、过热、腐蚀等危害；</w:t>
      </w:r>
    </w:p>
    <w:p w14:paraId="76F09B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④电缆的允许弯曲半径，应满足相关规范的要求；</w:t>
      </w:r>
    </w:p>
    <w:p w14:paraId="7BFCC5E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⑤动力电缆及控制、信号电缆应采用封闭式电缆桥架或穿管敷设；</w:t>
      </w:r>
    </w:p>
    <w:p w14:paraId="4CF8BBC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⑥穿管敷设时，管的内径不宜小于电缆外径的1.5倍；</w:t>
      </w:r>
    </w:p>
    <w:p w14:paraId="22815D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⑦电缆的敷设不得影响设备和管道维护。</w:t>
      </w:r>
    </w:p>
    <w:p w14:paraId="2A46DC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⑧电力电缆与非电力电缆应分开布置，其间距应满足规范要求。</w:t>
      </w:r>
    </w:p>
    <w:p w14:paraId="29924A8F">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6、系统运行模式：</w:t>
      </w:r>
    </w:p>
    <w:p w14:paraId="56C1BC6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(1)二次供水设备应具有手动、自动和远程控制功能，手动、自动可以通过控制柜上安装的转换开关进行选择。</w:t>
      </w:r>
    </w:p>
    <w:p w14:paraId="0E00C0E7">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(2)手动模式：由电气柜控制面板按钮工频启/停机组，大功率（&gt;=18.5kw）机组应设置软启动或变频启动设备。</w:t>
      </w:r>
    </w:p>
    <w:p w14:paraId="6641844C">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(3)自动模式：可将一天分为多个时间段，用户可根据供水量设置不同的工作压力，根据压力信号控制供水机组运行频率，自动投入和退出机组，发生故障自动切换到备用泵。</w:t>
      </w:r>
    </w:p>
    <w:p w14:paraId="63236C88">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（4）远程控制：可以在远程监控平台远程控制水泵的启停，调节进水电动阀的开度（任意角度）。远程控制状态下具有本地复位功能。远程起停水泵时，能保证恒压供水。</w:t>
      </w:r>
    </w:p>
    <w:p w14:paraId="2978940E">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 (5)强制启动主泵/辅泵：当水泵机组有主泵和辅泵组成，用户可以设定时段在用水高峰期强制启动主泵。在夜间小流量可以设定时段强制启动辅泵，避免水泵频繁切换。</w:t>
      </w:r>
    </w:p>
    <w:p w14:paraId="70F1C98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7、控制功能</w:t>
      </w:r>
    </w:p>
    <w:p w14:paraId="67FEDB5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(1)自动恒压：根据工程实际情况，可现场设定设备出水压力，采用控制算法根据出水压力与设定压力相比较，自动调节保持出水压力恒定，恒定压力控制精度≤±0.01Mpa 。系统根据供水流量的变化增加或减少水泵台数。在切换过程中保持供水压力平稳。</w:t>
      </w:r>
    </w:p>
    <w:p w14:paraId="2BBE794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(2)自动轮换功能：系统可以选择定时轮换与定点轮换方式，用户可设置轮换时间。系统自动累计各水泵的运行时间，每次均优先启动运行时间最短的水泵。人机界面屏可以显示轮换倒计时。（备用泵也进行轮换）</w:t>
      </w:r>
    </w:p>
    <w:p w14:paraId="72193C4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自动休眠：当设备在用水低峰期运行，实际用水量很小时，控制系统对检测到的信号进行处理，并迅速调整运行状态，直至设备小流量停机，实现停机零损耗。设备停止运行，通过气压罐维持压力，提高节能效果，保证用水需求，在流量加大时可以自动恢复运行状态。</w:t>
      </w:r>
    </w:p>
    <w:p w14:paraId="37680EC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状态显示：通过触摸屏可查看当前供水压力、设定压力及压力波动曲线、频率、水箱液位(仅水箱式)、流量等运行信息及各台水泵的运行状态（变频、故障、停止）和工作时间。触摸屏可设置液位量程，量程设置应与液位变送器匹配，设置量程精度到厘米，无水停机信号不能使用液位变送器信号。</w:t>
      </w:r>
    </w:p>
    <w:p w14:paraId="46054286">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(5)数据记录：自动累计水泵运行时间，显示格式为“从XXXX年XX月XX日，水泵累计运行XX小时XX分钟XX秒”；</w:t>
      </w:r>
    </w:p>
    <w:p w14:paraId="3131563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故障报警与处理：出现过流、过载、缺相、欠压、超压、无水、变频故障等不适合设备工作的情况时，设备能自动切转换到保护状态，以保护设备不受到损坏。同时设备自动跳过故障回路或水泵，投入其他回路或水泵，避免设备不必要的停机影响到用户用水，同时发出报警信号。</w:t>
      </w:r>
    </w:p>
    <w:p w14:paraId="75F80420">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变频故障自动复位：变频器报警后，自动复位到设定次数，且复位间隔时间递增。如果变频器复位达到设定次数后仍然不成功，则自动停机保护。当变频器故障无法复位或断电情况下，应能切换至其他变频器工作。</w:t>
      </w:r>
    </w:p>
    <w:p w14:paraId="4F8F8516">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无水/超压自动复位：无水/超压故障发生后，系统进入停机状态，当故障恢复后系统自动启动。管网叠压设备至少有2套独立的缺水（负压）保护机构，当发生缺水（或负压）的状态下应能自动报警及停机保护，当进水恢复正常时，设备恢复正常运行。</w:t>
      </w:r>
    </w:p>
    <w:p w14:paraId="354FC83F">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(9)故障记录与存储：应具有故障报警和报警记忆功能，故障报警应及时准确。自动记录故障发生/恢复时间，故障类别。并提示用户处理方法，声光报警。</w:t>
      </w:r>
    </w:p>
    <w:p w14:paraId="26B6B908">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(10)巡检功能：系统控制机组/进水电动阀定期自动巡检，巡检时间的长短可以自动调节，此功能可防止水泵/电动阀长期不运行而锈蚀的情况发生。</w:t>
      </w:r>
    </w:p>
    <w:p w14:paraId="7F8023E2">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（11）管网爆管失压自动停机功能:当供水设备自动运行时，所有水泵满负荷运行，仍然满足不了供水压力需求，能自动停机并报警；待管理人员现场人为确认报警后，方能再次开机供水。</w:t>
      </w:r>
    </w:p>
    <w:p w14:paraId="40E5136C">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（12）错峰供水功能（针对水箱加变频系统）：当水箱总容积大于50m3时需增设错峰供水功能，并按电动调节阀数量设置，依次接入低区至高区控制柜，在触摸屏上可选择启用或不启用错峰供水模式。</w:t>
      </w:r>
    </w:p>
    <w:p w14:paraId="7DCDC6AF">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利用出口流量计记录的数据，进行数据分析，用前一天的数据分析得出的结果，自动设定第二天该小区用水高峰期的时间段。在高峰期到来时关闭进水电动阀，利用水箱的调节容积为用户供水；在高峰期时间内若水箱调节容积不足时再结合水箱的不同液位，控制进口电动调节阀的启闭角度（至下限水位时，电动阀全开；下限水位设定为无水停机水位上5cm）；低峰期电动阀全开为水箱补水。</w:t>
      </w:r>
    </w:p>
    <w:p w14:paraId="528F5A05">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①本地操作：在触摸屏上可以对电动调节阀进行手动/自动切换。登陆管理员账号后，切换至手动运行时，可手动输入需要的阀门开度。自动运行时则根据程序自动判断运行。</w:t>
      </w:r>
    </w:p>
    <w:p w14:paraId="448693C8">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②远程操作：在远程监控平台可以对电动调节阀进行手动/自动切换。登陆管理员账号后，可切换至手动运行，手动输入需要的阀门开度。自动运行时则根据程序自动判断运行。</w:t>
      </w:r>
    </w:p>
    <w:p w14:paraId="68E491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(13)参数设定：</w:t>
      </w:r>
    </w:p>
    <w:p w14:paraId="003EC0BE">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①供水压力分时段设定。</w:t>
      </w:r>
    </w:p>
    <w:p w14:paraId="2D982E48">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②PID参数。</w:t>
      </w:r>
    </w:p>
    <w:p w14:paraId="47BD803F">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③轮换参数（定时轮换/定点轮换、轮换时间）。</w:t>
      </w:r>
    </w:p>
    <w:p w14:paraId="3BA1AA39">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④休眠参数(是否保压停机、退出停机压差)。</w:t>
      </w:r>
    </w:p>
    <w:p w14:paraId="70F6DF54">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⑤延时时间（进入辅泵、退出辅泵、进入保压停机、退出保压停机、无水、变频、超压故障判断延时）。</w:t>
      </w:r>
    </w:p>
    <w:p w14:paraId="1664D8A3">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⑥频率设定（启动变频、最高输出频率、进入保压停机频率、退出保压停机频率、进入辅泵频率、退出辅泵频率）。</w:t>
      </w:r>
    </w:p>
    <w:p w14:paraId="6484D938">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⑦错峰供水参数（开阀水位、最高水位、最低水位）</w:t>
      </w:r>
    </w:p>
    <w:p w14:paraId="4722FFAC">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⑧系统时钟设置。</w:t>
      </w:r>
    </w:p>
    <w:p w14:paraId="52BAB9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(14)需在二次供水泵站内安装用于检测泵房集水坑液位高低的液位开关，并将该液位开关信号接入控制系统中，当出现该信号报警时，应通过现场控制器将二次供水泵房进水电动阀关闭。</w:t>
      </w:r>
    </w:p>
    <w:bookmarkEnd w:id="0"/>
    <w:bookmarkEnd w:id="1"/>
    <w:bookmarkEnd w:id="2"/>
    <w:p w14:paraId="2AF2803C">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8</w:t>
      </w:r>
      <w:r>
        <w:rPr>
          <w:rFonts w:hint="eastAsia" w:ascii="宋体" w:hAnsi="宋体" w:eastAsia="宋体" w:cs="宋体"/>
          <w:b/>
          <w:color w:val="auto"/>
          <w:sz w:val="21"/>
          <w:szCs w:val="21"/>
          <w:highlight w:val="none"/>
          <w:lang w:val="en-US" w:eastAsia="zh-CN"/>
        </w:rPr>
        <w:t>、其他要求</w:t>
      </w:r>
    </w:p>
    <w:p w14:paraId="0C090895">
      <w:pPr>
        <w:keepNext w:val="0"/>
        <w:keepLines w:val="0"/>
        <w:pageBreakBefore w:val="0"/>
        <w:kinsoku/>
        <w:wordWrap/>
        <w:overflowPunct/>
        <w:topLinePunct w:val="0"/>
        <w:autoSpaceDE/>
        <w:autoSpaceDN/>
        <w:bidi w:val="0"/>
        <w:adjustRightInd/>
        <w:snapToGrid w:val="0"/>
        <w:spacing w:line="440" w:lineRule="exact"/>
        <w:ind w:firstLine="495"/>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泵房集水坑内排</w:t>
      </w:r>
      <w:bookmarkStart w:id="4" w:name="_GoBack"/>
      <w:bookmarkEnd w:id="4"/>
      <w:r>
        <w:rPr>
          <w:rFonts w:hint="eastAsia" w:ascii="宋体" w:hAnsi="宋体" w:eastAsia="宋体" w:cs="宋体"/>
          <w:color w:val="auto"/>
          <w:sz w:val="21"/>
          <w:szCs w:val="21"/>
          <w:highlight w:val="none"/>
          <w:lang w:val="en-US" w:eastAsia="zh-CN"/>
        </w:rPr>
        <w:t>污设备由</w:t>
      </w:r>
      <w:r>
        <w:rPr>
          <w:rFonts w:hint="eastAsia" w:ascii="宋体" w:hAnsi="宋体" w:cs="宋体"/>
          <w:color w:val="auto"/>
          <w:sz w:val="21"/>
          <w:szCs w:val="21"/>
          <w:highlight w:val="none"/>
          <w:lang w:val="en-US" w:eastAsia="zh-CN"/>
        </w:rPr>
        <w:t>中标人</w:t>
      </w:r>
      <w:r>
        <w:rPr>
          <w:rFonts w:hint="eastAsia" w:ascii="宋体" w:hAnsi="宋体" w:eastAsia="宋体" w:cs="宋体"/>
          <w:color w:val="auto"/>
          <w:sz w:val="21"/>
          <w:szCs w:val="21"/>
          <w:highlight w:val="none"/>
          <w:lang w:val="en-US" w:eastAsia="zh-CN"/>
        </w:rPr>
        <w:t>提供和安装，所有厂家提供的设备质保期为8年。</w:t>
      </w:r>
    </w:p>
    <w:sectPr>
      <w:headerReference r:id="rId3" w:type="default"/>
      <w:footerReference r:id="rId4" w:type="default"/>
      <w:pgSz w:w="11906" w:h="16838"/>
      <w:pgMar w:top="1440" w:right="1417" w:bottom="1417"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DokChampa">
    <w:altName w:val="Leelawadee UI"/>
    <w:panose1 w:val="020B0604020202020204"/>
    <w:charset w:val="00"/>
    <w:family w:val="swiss"/>
    <w:pitch w:val="default"/>
    <w:sig w:usb0="00000000" w:usb1="00000000" w:usb2="00000000" w:usb3="00000000" w:csb0="40010001" w:csb1="00000000"/>
  </w:font>
  <w:font w:name="Leelawadee UI">
    <w:panose1 w:val="020B0502040204020203"/>
    <w:charset w:val="00"/>
    <w:family w:val="auto"/>
    <w:pitch w:val="default"/>
    <w:sig w:usb0="83000003" w:usb1="00000000" w:usb2="00010000" w:usb3="00000001" w:csb0="00010101" w:csb1="00000000"/>
  </w:font>
  <w:font w:name="MS Sans Serif">
    <w:altName w:val="Segoe Print"/>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E3206">
    <w:pPr>
      <w:pStyle w:val="24"/>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B4AAC0">
                          <w:pPr>
                            <w:pStyle w:val="24"/>
                          </w:pPr>
                          <w:r>
                            <w:t xml:space="preserve">第 </w:t>
                          </w:r>
                          <w:r>
                            <w:fldChar w:fldCharType="begin"/>
                          </w:r>
                          <w:r>
                            <w:instrText xml:space="preserve"> PAGE  \* MERGEFORMAT </w:instrText>
                          </w:r>
                          <w:r>
                            <w:fldChar w:fldCharType="separate"/>
                          </w:r>
                          <w:r>
                            <w:t>1</w:t>
                          </w:r>
                          <w:r>
                            <w:fldChar w:fldCharType="end"/>
                          </w:r>
                          <w:r>
                            <w:t xml:space="preserve"> 页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BcGV3b5gEA&#10;AMgDAAAOAAAAAAAAAAEAIAAAACIBAABkcnMvZTJvRG9jLnhtbFBLBQYAAAAABgAGAFkBAAB6BQAA&#10;AAA=&#10;">
              <v:fill on="f" focussize="0,0"/>
              <v:stroke on="f" weight="1.25pt"/>
              <v:imagedata o:title=""/>
              <o:lock v:ext="edit" aspectratio="f"/>
              <v:textbox inset="0mm,0mm,0mm,0mm" style="mso-fit-shape-to-text:t;">
                <w:txbxContent>
                  <w:p w14:paraId="7DB4AAC0">
                    <w:pPr>
                      <w:pStyle w:val="24"/>
                    </w:pPr>
                    <w:r>
                      <w:t xml:space="preserve">第 </w:t>
                    </w:r>
                    <w:r>
                      <w:fldChar w:fldCharType="begin"/>
                    </w:r>
                    <w:r>
                      <w:instrText xml:space="preserve"> PAGE  \* MERGEFORMAT </w:instrText>
                    </w:r>
                    <w:r>
                      <w:fldChar w:fldCharType="separate"/>
                    </w:r>
                    <w:r>
                      <w:t>1</w:t>
                    </w:r>
                    <w:r>
                      <w:fldChar w:fldCharType="end"/>
                    </w:r>
                    <w:r>
                      <w:t xml:space="preserve"> 页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EBE0C">
    <w:pPr>
      <w:pStyle w:val="25"/>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chineseCountingThousand"/>
      <w:pStyle w:val="100"/>
      <w:suff w:val="space"/>
      <w:lvlText w:val="%1、"/>
      <w:lvlJc w:val="left"/>
      <w:pPr>
        <w:ind w:left="425" w:hanging="425"/>
      </w:pPr>
      <w:rPr>
        <w:rFonts w:hint="eastAsia"/>
      </w:rPr>
    </w:lvl>
    <w:lvl w:ilvl="1" w:tentative="0">
      <w:start w:val="1"/>
      <w:numFmt w:val="decimal"/>
      <w:suff w:val="space"/>
      <w:lvlText w:val="%2、"/>
      <w:lvlJc w:val="left"/>
      <w:pPr>
        <w:ind w:left="454" w:hanging="454"/>
      </w:pPr>
      <w:rPr>
        <w:rFonts w:hint="eastAsia"/>
      </w:rPr>
    </w:lvl>
    <w:lvl w:ilvl="2" w:tentative="0">
      <w:start w:val="1"/>
      <w:numFmt w:val="decimal"/>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1">
    <w:nsid w:val="00000007"/>
    <w:multiLevelType w:val="multilevel"/>
    <w:tmpl w:val="00000007"/>
    <w:lvl w:ilvl="0" w:tentative="0">
      <w:start w:val="1"/>
      <w:numFmt w:val="chineseCountingThousand"/>
      <w:pStyle w:val="31"/>
      <w:lvlText w:val="%1、"/>
      <w:lvlJc w:val="left"/>
      <w:pPr>
        <w:ind w:left="420" w:hanging="42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decimal"/>
      <w:pStyle w:val="93"/>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000000F"/>
    <w:multiLevelType w:val="multilevel"/>
    <w:tmpl w:val="0000000F"/>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4">
    <w:nsid w:val="00000010"/>
    <w:multiLevelType w:val="multilevel"/>
    <w:tmpl w:val="00000010"/>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5">
    <w:nsid w:val="00000012"/>
    <w:multiLevelType w:val="multilevel"/>
    <w:tmpl w:val="00000012"/>
    <w:lvl w:ilvl="0" w:tentative="0">
      <w:start w:val="1"/>
      <w:numFmt w:val="chineseCountingThousand"/>
      <w:pStyle w:val="116"/>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6">
    <w:nsid w:val="00000014"/>
    <w:multiLevelType w:val="multilevel"/>
    <w:tmpl w:val="00000014"/>
    <w:lvl w:ilvl="0" w:tentative="0">
      <w:start w:val="1"/>
      <w:numFmt w:val="decimal"/>
      <w:pStyle w:val="27"/>
      <w:lvlText w:val="%1."/>
      <w:lvlJc w:val="left"/>
      <w:pPr>
        <w:ind w:left="420" w:firstLine="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6"/>
  </w:num>
  <w:num w:numId="4">
    <w:abstractNumId w:val="1"/>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wNTc2ZWQzOTA0MzE0NWU1ZTZhZGFiZDdiZjMzYzcifQ=="/>
    <w:docVar w:name="KSO_WPS_MARK_KEY" w:val="a7947615-9984-45ea-a8ad-3298fef36257"/>
  </w:docVars>
  <w:rsids>
    <w:rsidRoot w:val="00172A27"/>
    <w:rsid w:val="000126F2"/>
    <w:rsid w:val="00086696"/>
    <w:rsid w:val="0009024D"/>
    <w:rsid w:val="00115C78"/>
    <w:rsid w:val="00153AFF"/>
    <w:rsid w:val="00186C2B"/>
    <w:rsid w:val="00212728"/>
    <w:rsid w:val="00233C4E"/>
    <w:rsid w:val="00251036"/>
    <w:rsid w:val="002C61F7"/>
    <w:rsid w:val="002E50F8"/>
    <w:rsid w:val="003225FB"/>
    <w:rsid w:val="00330766"/>
    <w:rsid w:val="003419E5"/>
    <w:rsid w:val="003955F9"/>
    <w:rsid w:val="00395E25"/>
    <w:rsid w:val="003E670B"/>
    <w:rsid w:val="00401F67"/>
    <w:rsid w:val="00403054"/>
    <w:rsid w:val="00466F77"/>
    <w:rsid w:val="004C4A9A"/>
    <w:rsid w:val="004F3A79"/>
    <w:rsid w:val="004F5165"/>
    <w:rsid w:val="00506947"/>
    <w:rsid w:val="00510AFB"/>
    <w:rsid w:val="00533663"/>
    <w:rsid w:val="005868F5"/>
    <w:rsid w:val="005931B7"/>
    <w:rsid w:val="005A3C00"/>
    <w:rsid w:val="005B5679"/>
    <w:rsid w:val="00620A2A"/>
    <w:rsid w:val="00677F31"/>
    <w:rsid w:val="0069368B"/>
    <w:rsid w:val="007678C6"/>
    <w:rsid w:val="007D541D"/>
    <w:rsid w:val="007F45BE"/>
    <w:rsid w:val="008005F7"/>
    <w:rsid w:val="008201B4"/>
    <w:rsid w:val="00833AB6"/>
    <w:rsid w:val="00853109"/>
    <w:rsid w:val="008766D7"/>
    <w:rsid w:val="008C7661"/>
    <w:rsid w:val="008E0C60"/>
    <w:rsid w:val="009255FE"/>
    <w:rsid w:val="009269A2"/>
    <w:rsid w:val="009343AA"/>
    <w:rsid w:val="00937817"/>
    <w:rsid w:val="009B2C38"/>
    <w:rsid w:val="009D17C8"/>
    <w:rsid w:val="009E196C"/>
    <w:rsid w:val="009F2CCC"/>
    <w:rsid w:val="00A012AB"/>
    <w:rsid w:val="00A54152"/>
    <w:rsid w:val="00A67D58"/>
    <w:rsid w:val="00A975DD"/>
    <w:rsid w:val="00AF40A6"/>
    <w:rsid w:val="00AF43B5"/>
    <w:rsid w:val="00B41BDC"/>
    <w:rsid w:val="00B45701"/>
    <w:rsid w:val="00B502D3"/>
    <w:rsid w:val="00B627A9"/>
    <w:rsid w:val="00B77363"/>
    <w:rsid w:val="00B8500A"/>
    <w:rsid w:val="00BF0751"/>
    <w:rsid w:val="00C069E8"/>
    <w:rsid w:val="00C24AE6"/>
    <w:rsid w:val="00CD391E"/>
    <w:rsid w:val="00CF1FFF"/>
    <w:rsid w:val="00D24FF0"/>
    <w:rsid w:val="00D25ACB"/>
    <w:rsid w:val="00D46C3D"/>
    <w:rsid w:val="00D50329"/>
    <w:rsid w:val="00D651BA"/>
    <w:rsid w:val="00DD6A62"/>
    <w:rsid w:val="00E4156B"/>
    <w:rsid w:val="00E700A9"/>
    <w:rsid w:val="00E70847"/>
    <w:rsid w:val="00E87AA3"/>
    <w:rsid w:val="00F13E63"/>
    <w:rsid w:val="00F768E1"/>
    <w:rsid w:val="00FC3E1B"/>
    <w:rsid w:val="00FF16F3"/>
    <w:rsid w:val="016947F9"/>
    <w:rsid w:val="01826A17"/>
    <w:rsid w:val="01CB7DA6"/>
    <w:rsid w:val="01DA5E9C"/>
    <w:rsid w:val="01DB6127"/>
    <w:rsid w:val="01DE01EE"/>
    <w:rsid w:val="0219028B"/>
    <w:rsid w:val="022E6257"/>
    <w:rsid w:val="023F5CCC"/>
    <w:rsid w:val="02477318"/>
    <w:rsid w:val="0255285E"/>
    <w:rsid w:val="026B1259"/>
    <w:rsid w:val="02827B99"/>
    <w:rsid w:val="029F2E1F"/>
    <w:rsid w:val="02BC3AEB"/>
    <w:rsid w:val="02D079EE"/>
    <w:rsid w:val="02E54D69"/>
    <w:rsid w:val="02F254D6"/>
    <w:rsid w:val="02F53218"/>
    <w:rsid w:val="0341645D"/>
    <w:rsid w:val="034C2DE9"/>
    <w:rsid w:val="035241C7"/>
    <w:rsid w:val="038A570F"/>
    <w:rsid w:val="039E11BA"/>
    <w:rsid w:val="03A2514E"/>
    <w:rsid w:val="03B409DD"/>
    <w:rsid w:val="03C03826"/>
    <w:rsid w:val="03C30C20"/>
    <w:rsid w:val="03D1158F"/>
    <w:rsid w:val="03DB41BC"/>
    <w:rsid w:val="03EF7C67"/>
    <w:rsid w:val="03FE7EAB"/>
    <w:rsid w:val="041C543C"/>
    <w:rsid w:val="04221DEB"/>
    <w:rsid w:val="04435676"/>
    <w:rsid w:val="044E498E"/>
    <w:rsid w:val="04A80671"/>
    <w:rsid w:val="04A942BA"/>
    <w:rsid w:val="04AB3862"/>
    <w:rsid w:val="050B6D23"/>
    <w:rsid w:val="05373674"/>
    <w:rsid w:val="053E4A03"/>
    <w:rsid w:val="05455577"/>
    <w:rsid w:val="054B0F4A"/>
    <w:rsid w:val="05767F55"/>
    <w:rsid w:val="058F1702"/>
    <w:rsid w:val="05A351AD"/>
    <w:rsid w:val="05E82BC0"/>
    <w:rsid w:val="05F477B7"/>
    <w:rsid w:val="062278D0"/>
    <w:rsid w:val="06370ACC"/>
    <w:rsid w:val="06632AA3"/>
    <w:rsid w:val="06836B5F"/>
    <w:rsid w:val="06A55ADF"/>
    <w:rsid w:val="06B64A6C"/>
    <w:rsid w:val="06C453DB"/>
    <w:rsid w:val="06D82C35"/>
    <w:rsid w:val="06F224DF"/>
    <w:rsid w:val="06F9554A"/>
    <w:rsid w:val="0721282E"/>
    <w:rsid w:val="07371FAF"/>
    <w:rsid w:val="075239E7"/>
    <w:rsid w:val="07750484"/>
    <w:rsid w:val="07950B26"/>
    <w:rsid w:val="07AD2313"/>
    <w:rsid w:val="07B85D23"/>
    <w:rsid w:val="07E0529D"/>
    <w:rsid w:val="07ED2710"/>
    <w:rsid w:val="07F613C5"/>
    <w:rsid w:val="08140B8B"/>
    <w:rsid w:val="08143A40"/>
    <w:rsid w:val="08293B60"/>
    <w:rsid w:val="08395955"/>
    <w:rsid w:val="084A1910"/>
    <w:rsid w:val="084F5934"/>
    <w:rsid w:val="088A4403"/>
    <w:rsid w:val="088A5A8D"/>
    <w:rsid w:val="08C07429"/>
    <w:rsid w:val="08D51B22"/>
    <w:rsid w:val="08E27D9B"/>
    <w:rsid w:val="08E92ED7"/>
    <w:rsid w:val="08EE00FD"/>
    <w:rsid w:val="08FA50E4"/>
    <w:rsid w:val="0935241C"/>
    <w:rsid w:val="09524F20"/>
    <w:rsid w:val="097035F9"/>
    <w:rsid w:val="09963123"/>
    <w:rsid w:val="09981838"/>
    <w:rsid w:val="09B5283E"/>
    <w:rsid w:val="09C166B7"/>
    <w:rsid w:val="09CB469C"/>
    <w:rsid w:val="09CF3948"/>
    <w:rsid w:val="09E71B0D"/>
    <w:rsid w:val="09F14739"/>
    <w:rsid w:val="0A2D3F49"/>
    <w:rsid w:val="0A8712AB"/>
    <w:rsid w:val="0A997E62"/>
    <w:rsid w:val="0AA04DDE"/>
    <w:rsid w:val="0AB12DCE"/>
    <w:rsid w:val="0AD96F7B"/>
    <w:rsid w:val="0AEC4F01"/>
    <w:rsid w:val="0AF3628F"/>
    <w:rsid w:val="0B343101"/>
    <w:rsid w:val="0B627EDA"/>
    <w:rsid w:val="0B982B0E"/>
    <w:rsid w:val="0BA94BA0"/>
    <w:rsid w:val="0BAF62FB"/>
    <w:rsid w:val="0BC66C7D"/>
    <w:rsid w:val="0BED3778"/>
    <w:rsid w:val="0C2A577B"/>
    <w:rsid w:val="0C2D26E3"/>
    <w:rsid w:val="0C373ADB"/>
    <w:rsid w:val="0C37733F"/>
    <w:rsid w:val="0C3856AB"/>
    <w:rsid w:val="0C3C5A14"/>
    <w:rsid w:val="0C4274CE"/>
    <w:rsid w:val="0CC53C5B"/>
    <w:rsid w:val="0CDB7B95"/>
    <w:rsid w:val="0CEA5470"/>
    <w:rsid w:val="0D077DD0"/>
    <w:rsid w:val="0D350215"/>
    <w:rsid w:val="0D3E4B53"/>
    <w:rsid w:val="0D6B65B1"/>
    <w:rsid w:val="0D8544BC"/>
    <w:rsid w:val="0DE01542"/>
    <w:rsid w:val="0DF2282E"/>
    <w:rsid w:val="0DFD3DA4"/>
    <w:rsid w:val="0E24538F"/>
    <w:rsid w:val="0E46735F"/>
    <w:rsid w:val="0E4969BD"/>
    <w:rsid w:val="0E5928AD"/>
    <w:rsid w:val="0E5B4877"/>
    <w:rsid w:val="0E707BF7"/>
    <w:rsid w:val="0E7D0D45"/>
    <w:rsid w:val="0EAD1661"/>
    <w:rsid w:val="0EBE21D3"/>
    <w:rsid w:val="0EBF7B36"/>
    <w:rsid w:val="0F0C791F"/>
    <w:rsid w:val="0F2F609E"/>
    <w:rsid w:val="0F4E7F38"/>
    <w:rsid w:val="0F6A046D"/>
    <w:rsid w:val="0F891446"/>
    <w:rsid w:val="0F9A13CF"/>
    <w:rsid w:val="0F9B000F"/>
    <w:rsid w:val="0FB747DD"/>
    <w:rsid w:val="0FC91CB4"/>
    <w:rsid w:val="0FD83CA6"/>
    <w:rsid w:val="10131364"/>
    <w:rsid w:val="101822F4"/>
    <w:rsid w:val="105B218F"/>
    <w:rsid w:val="10616837"/>
    <w:rsid w:val="107E794C"/>
    <w:rsid w:val="10B4201D"/>
    <w:rsid w:val="10CA7A92"/>
    <w:rsid w:val="10F845FF"/>
    <w:rsid w:val="110D0173"/>
    <w:rsid w:val="11125CD9"/>
    <w:rsid w:val="112951FE"/>
    <w:rsid w:val="11317B11"/>
    <w:rsid w:val="116E6670"/>
    <w:rsid w:val="117A3C75"/>
    <w:rsid w:val="11826A7D"/>
    <w:rsid w:val="118616F9"/>
    <w:rsid w:val="11904838"/>
    <w:rsid w:val="11B83956"/>
    <w:rsid w:val="11C40985"/>
    <w:rsid w:val="11CC786A"/>
    <w:rsid w:val="11D8457F"/>
    <w:rsid w:val="11DB0B51"/>
    <w:rsid w:val="11E93F48"/>
    <w:rsid w:val="11EC68FB"/>
    <w:rsid w:val="12273D08"/>
    <w:rsid w:val="123D2FB3"/>
    <w:rsid w:val="124538DB"/>
    <w:rsid w:val="125067AE"/>
    <w:rsid w:val="125F7B89"/>
    <w:rsid w:val="12637655"/>
    <w:rsid w:val="12A12A75"/>
    <w:rsid w:val="12C80001"/>
    <w:rsid w:val="12CF56B4"/>
    <w:rsid w:val="12EF558E"/>
    <w:rsid w:val="12F92791"/>
    <w:rsid w:val="13033659"/>
    <w:rsid w:val="130354DD"/>
    <w:rsid w:val="13066050"/>
    <w:rsid w:val="13132BFE"/>
    <w:rsid w:val="132A7687"/>
    <w:rsid w:val="134F1DF4"/>
    <w:rsid w:val="13556090"/>
    <w:rsid w:val="13557827"/>
    <w:rsid w:val="13631AD8"/>
    <w:rsid w:val="137F4B64"/>
    <w:rsid w:val="138B3117"/>
    <w:rsid w:val="13C06B9F"/>
    <w:rsid w:val="13CD2CC1"/>
    <w:rsid w:val="13E342F7"/>
    <w:rsid w:val="140B464A"/>
    <w:rsid w:val="140D6614"/>
    <w:rsid w:val="1438503B"/>
    <w:rsid w:val="144933C4"/>
    <w:rsid w:val="145F3F52"/>
    <w:rsid w:val="1461426A"/>
    <w:rsid w:val="14694230"/>
    <w:rsid w:val="14720C0D"/>
    <w:rsid w:val="147D0BDA"/>
    <w:rsid w:val="14860A3B"/>
    <w:rsid w:val="14972381"/>
    <w:rsid w:val="14B52807"/>
    <w:rsid w:val="14BA1BCC"/>
    <w:rsid w:val="14C724CE"/>
    <w:rsid w:val="14CA5427"/>
    <w:rsid w:val="14E07884"/>
    <w:rsid w:val="150572EB"/>
    <w:rsid w:val="150A448F"/>
    <w:rsid w:val="150C68CB"/>
    <w:rsid w:val="153843CC"/>
    <w:rsid w:val="154461CC"/>
    <w:rsid w:val="15597637"/>
    <w:rsid w:val="15804BC3"/>
    <w:rsid w:val="15BD23EA"/>
    <w:rsid w:val="15D373E9"/>
    <w:rsid w:val="15E213DA"/>
    <w:rsid w:val="1633342F"/>
    <w:rsid w:val="16683008"/>
    <w:rsid w:val="168E3310"/>
    <w:rsid w:val="16911753"/>
    <w:rsid w:val="16A36DBB"/>
    <w:rsid w:val="16B81E85"/>
    <w:rsid w:val="16CF7F44"/>
    <w:rsid w:val="16FE3FF2"/>
    <w:rsid w:val="171323AA"/>
    <w:rsid w:val="174E6BD4"/>
    <w:rsid w:val="17B63456"/>
    <w:rsid w:val="17F2764F"/>
    <w:rsid w:val="1833416F"/>
    <w:rsid w:val="18524B4C"/>
    <w:rsid w:val="18737F6A"/>
    <w:rsid w:val="187D1E98"/>
    <w:rsid w:val="187D53EA"/>
    <w:rsid w:val="18A817AE"/>
    <w:rsid w:val="18B21538"/>
    <w:rsid w:val="18BB7749"/>
    <w:rsid w:val="18D9512F"/>
    <w:rsid w:val="18DA2785"/>
    <w:rsid w:val="18ED431E"/>
    <w:rsid w:val="18F558C8"/>
    <w:rsid w:val="18F877F3"/>
    <w:rsid w:val="1901601B"/>
    <w:rsid w:val="19070275"/>
    <w:rsid w:val="19235F91"/>
    <w:rsid w:val="193C7053"/>
    <w:rsid w:val="193F7C64"/>
    <w:rsid w:val="19724162"/>
    <w:rsid w:val="19C214C4"/>
    <w:rsid w:val="19F70AC5"/>
    <w:rsid w:val="19F94F44"/>
    <w:rsid w:val="1A1324AA"/>
    <w:rsid w:val="1A2F16BB"/>
    <w:rsid w:val="1A766595"/>
    <w:rsid w:val="1AA57FC0"/>
    <w:rsid w:val="1AAC1FB7"/>
    <w:rsid w:val="1AAE61FB"/>
    <w:rsid w:val="1AB23324"/>
    <w:rsid w:val="1AED13C7"/>
    <w:rsid w:val="1B193AF0"/>
    <w:rsid w:val="1B2D30F7"/>
    <w:rsid w:val="1B7E1895"/>
    <w:rsid w:val="1BA55384"/>
    <w:rsid w:val="1BDD4B1E"/>
    <w:rsid w:val="1BE76F28"/>
    <w:rsid w:val="1C5A26D3"/>
    <w:rsid w:val="1C5D0DA4"/>
    <w:rsid w:val="1C6F5742"/>
    <w:rsid w:val="1C76287C"/>
    <w:rsid w:val="1C872925"/>
    <w:rsid w:val="1CAA693B"/>
    <w:rsid w:val="1CB14442"/>
    <w:rsid w:val="1CC66428"/>
    <w:rsid w:val="1D0113C9"/>
    <w:rsid w:val="1D0A2DA7"/>
    <w:rsid w:val="1D1140B4"/>
    <w:rsid w:val="1D2B18B9"/>
    <w:rsid w:val="1D630F86"/>
    <w:rsid w:val="1D752B34"/>
    <w:rsid w:val="1D7E5E8C"/>
    <w:rsid w:val="1D836591"/>
    <w:rsid w:val="1DB55626"/>
    <w:rsid w:val="1DC15D79"/>
    <w:rsid w:val="1DC85AE6"/>
    <w:rsid w:val="1DDB503E"/>
    <w:rsid w:val="1DE85A9D"/>
    <w:rsid w:val="1DF13B3B"/>
    <w:rsid w:val="1E0E2B0B"/>
    <w:rsid w:val="1E1660C5"/>
    <w:rsid w:val="1E205195"/>
    <w:rsid w:val="1E276322"/>
    <w:rsid w:val="1E5F2F8D"/>
    <w:rsid w:val="1E982F7E"/>
    <w:rsid w:val="1EAC45D3"/>
    <w:rsid w:val="1EC71AB5"/>
    <w:rsid w:val="1ECF4FD3"/>
    <w:rsid w:val="1ED0096A"/>
    <w:rsid w:val="1EDB6610"/>
    <w:rsid w:val="1F02489B"/>
    <w:rsid w:val="1F095D51"/>
    <w:rsid w:val="1F132604"/>
    <w:rsid w:val="1F242A63"/>
    <w:rsid w:val="1F2627EB"/>
    <w:rsid w:val="1F294332"/>
    <w:rsid w:val="1F2A62AD"/>
    <w:rsid w:val="1F4804CC"/>
    <w:rsid w:val="1F6A5C94"/>
    <w:rsid w:val="1FEF6DB8"/>
    <w:rsid w:val="201E4F4F"/>
    <w:rsid w:val="20256A93"/>
    <w:rsid w:val="205055EF"/>
    <w:rsid w:val="206C46C2"/>
    <w:rsid w:val="20976AB4"/>
    <w:rsid w:val="20A81514"/>
    <w:rsid w:val="20AB6760"/>
    <w:rsid w:val="20B16579"/>
    <w:rsid w:val="20C95670"/>
    <w:rsid w:val="20D65FDF"/>
    <w:rsid w:val="20E85D1A"/>
    <w:rsid w:val="20EA5F72"/>
    <w:rsid w:val="210055F8"/>
    <w:rsid w:val="21052421"/>
    <w:rsid w:val="2126121F"/>
    <w:rsid w:val="217B0F40"/>
    <w:rsid w:val="218A192D"/>
    <w:rsid w:val="21A972E1"/>
    <w:rsid w:val="21F816C1"/>
    <w:rsid w:val="222B0959"/>
    <w:rsid w:val="222F1E4B"/>
    <w:rsid w:val="2240564F"/>
    <w:rsid w:val="224F6049"/>
    <w:rsid w:val="22A00653"/>
    <w:rsid w:val="22A52EFA"/>
    <w:rsid w:val="22A567AC"/>
    <w:rsid w:val="22AA3280"/>
    <w:rsid w:val="22BD2FB3"/>
    <w:rsid w:val="22CB1F7F"/>
    <w:rsid w:val="22CC31F6"/>
    <w:rsid w:val="22D43C96"/>
    <w:rsid w:val="22DB5B2F"/>
    <w:rsid w:val="22EC6903"/>
    <w:rsid w:val="22FB3ADB"/>
    <w:rsid w:val="23076924"/>
    <w:rsid w:val="23083B05"/>
    <w:rsid w:val="23214B81"/>
    <w:rsid w:val="23250B58"/>
    <w:rsid w:val="23287A3B"/>
    <w:rsid w:val="234E0C74"/>
    <w:rsid w:val="235D595F"/>
    <w:rsid w:val="2366667A"/>
    <w:rsid w:val="23725A46"/>
    <w:rsid w:val="23A75A11"/>
    <w:rsid w:val="23DD1433"/>
    <w:rsid w:val="23ED1676"/>
    <w:rsid w:val="23F37F14"/>
    <w:rsid w:val="23F956E8"/>
    <w:rsid w:val="24015121"/>
    <w:rsid w:val="24305A06"/>
    <w:rsid w:val="2447702E"/>
    <w:rsid w:val="24765B0F"/>
    <w:rsid w:val="247C0C4C"/>
    <w:rsid w:val="247C50B5"/>
    <w:rsid w:val="249B0281"/>
    <w:rsid w:val="24C22B02"/>
    <w:rsid w:val="24D570AE"/>
    <w:rsid w:val="24D6035C"/>
    <w:rsid w:val="24E01EF1"/>
    <w:rsid w:val="24E2777A"/>
    <w:rsid w:val="24F51DFC"/>
    <w:rsid w:val="25363335"/>
    <w:rsid w:val="25623613"/>
    <w:rsid w:val="25924268"/>
    <w:rsid w:val="25A641D2"/>
    <w:rsid w:val="25C2640A"/>
    <w:rsid w:val="25E67FEE"/>
    <w:rsid w:val="25F3318F"/>
    <w:rsid w:val="26355556"/>
    <w:rsid w:val="263B7010"/>
    <w:rsid w:val="2650413E"/>
    <w:rsid w:val="265359DC"/>
    <w:rsid w:val="26834513"/>
    <w:rsid w:val="26AC3A6A"/>
    <w:rsid w:val="26BE763B"/>
    <w:rsid w:val="26E730BC"/>
    <w:rsid w:val="270135A4"/>
    <w:rsid w:val="271635D9"/>
    <w:rsid w:val="27B84691"/>
    <w:rsid w:val="27C923FA"/>
    <w:rsid w:val="27CA464D"/>
    <w:rsid w:val="27CB7F20"/>
    <w:rsid w:val="27E91720"/>
    <w:rsid w:val="27F136A9"/>
    <w:rsid w:val="27F21934"/>
    <w:rsid w:val="27F6382B"/>
    <w:rsid w:val="27FD20A3"/>
    <w:rsid w:val="280F14ED"/>
    <w:rsid w:val="280F3776"/>
    <w:rsid w:val="28527CD1"/>
    <w:rsid w:val="287C7ABF"/>
    <w:rsid w:val="28844573"/>
    <w:rsid w:val="28A42B13"/>
    <w:rsid w:val="28AA3FD9"/>
    <w:rsid w:val="28C52BC1"/>
    <w:rsid w:val="28E9787B"/>
    <w:rsid w:val="29441132"/>
    <w:rsid w:val="29890753"/>
    <w:rsid w:val="298962E5"/>
    <w:rsid w:val="29934A6D"/>
    <w:rsid w:val="29A05EB5"/>
    <w:rsid w:val="29B72649"/>
    <w:rsid w:val="29CF7F37"/>
    <w:rsid w:val="2A0E5104"/>
    <w:rsid w:val="2A131C98"/>
    <w:rsid w:val="2A570E85"/>
    <w:rsid w:val="2A830F86"/>
    <w:rsid w:val="2A8745B6"/>
    <w:rsid w:val="2A8759C5"/>
    <w:rsid w:val="2A9A1E2C"/>
    <w:rsid w:val="2A9F5694"/>
    <w:rsid w:val="2AA23A25"/>
    <w:rsid w:val="2AAA6513"/>
    <w:rsid w:val="2AC27301"/>
    <w:rsid w:val="2AD15C14"/>
    <w:rsid w:val="2B045837"/>
    <w:rsid w:val="2B07429B"/>
    <w:rsid w:val="2B230073"/>
    <w:rsid w:val="2B634913"/>
    <w:rsid w:val="2BEC2B5B"/>
    <w:rsid w:val="2C246995"/>
    <w:rsid w:val="2C3562B0"/>
    <w:rsid w:val="2C385DA0"/>
    <w:rsid w:val="2C4944EB"/>
    <w:rsid w:val="2C4B162F"/>
    <w:rsid w:val="2C5D1363"/>
    <w:rsid w:val="2C9C1E8B"/>
    <w:rsid w:val="2CA91FCE"/>
    <w:rsid w:val="2CB847EB"/>
    <w:rsid w:val="2CD72C54"/>
    <w:rsid w:val="2CEA709A"/>
    <w:rsid w:val="2D022235"/>
    <w:rsid w:val="2D031F0A"/>
    <w:rsid w:val="2D0F08AF"/>
    <w:rsid w:val="2D1C7470"/>
    <w:rsid w:val="2D2125B0"/>
    <w:rsid w:val="2D371BB4"/>
    <w:rsid w:val="2D3B78F6"/>
    <w:rsid w:val="2D7C1CBC"/>
    <w:rsid w:val="2D8017AD"/>
    <w:rsid w:val="2D8868B3"/>
    <w:rsid w:val="2DAC4350"/>
    <w:rsid w:val="2E1755ED"/>
    <w:rsid w:val="2E623354"/>
    <w:rsid w:val="2E6A4E27"/>
    <w:rsid w:val="2ED33B5E"/>
    <w:rsid w:val="2EE53D89"/>
    <w:rsid w:val="2EEC10D1"/>
    <w:rsid w:val="2F030EDA"/>
    <w:rsid w:val="2F0412C1"/>
    <w:rsid w:val="2F171C9D"/>
    <w:rsid w:val="2F202F46"/>
    <w:rsid w:val="2F47268D"/>
    <w:rsid w:val="2F484F80"/>
    <w:rsid w:val="2F8F5CD7"/>
    <w:rsid w:val="2F926074"/>
    <w:rsid w:val="2F971630"/>
    <w:rsid w:val="2FA774C5"/>
    <w:rsid w:val="2FB44E46"/>
    <w:rsid w:val="2FCA005B"/>
    <w:rsid w:val="2FFF4CAE"/>
    <w:rsid w:val="30042C3B"/>
    <w:rsid w:val="302E5110"/>
    <w:rsid w:val="303A5A64"/>
    <w:rsid w:val="304E74D7"/>
    <w:rsid w:val="305111DE"/>
    <w:rsid w:val="30823A8E"/>
    <w:rsid w:val="309317F7"/>
    <w:rsid w:val="30E12562"/>
    <w:rsid w:val="30E84AF7"/>
    <w:rsid w:val="31103BE8"/>
    <w:rsid w:val="31490108"/>
    <w:rsid w:val="315736D8"/>
    <w:rsid w:val="3166515D"/>
    <w:rsid w:val="31684A32"/>
    <w:rsid w:val="317403C7"/>
    <w:rsid w:val="3179559F"/>
    <w:rsid w:val="317E6003"/>
    <w:rsid w:val="319B6BB5"/>
    <w:rsid w:val="31A1154D"/>
    <w:rsid w:val="31A17F44"/>
    <w:rsid w:val="31AD053C"/>
    <w:rsid w:val="31E340B8"/>
    <w:rsid w:val="320B1E88"/>
    <w:rsid w:val="325B29A2"/>
    <w:rsid w:val="3268280F"/>
    <w:rsid w:val="326D226F"/>
    <w:rsid w:val="32755BEE"/>
    <w:rsid w:val="328533C1"/>
    <w:rsid w:val="32A4546A"/>
    <w:rsid w:val="32B31CDC"/>
    <w:rsid w:val="32ED1980"/>
    <w:rsid w:val="32F1304C"/>
    <w:rsid w:val="333F3794"/>
    <w:rsid w:val="335A57BD"/>
    <w:rsid w:val="338B557B"/>
    <w:rsid w:val="339E5D33"/>
    <w:rsid w:val="33EC17CD"/>
    <w:rsid w:val="33EF143A"/>
    <w:rsid w:val="33EF1C73"/>
    <w:rsid w:val="33FA6F1E"/>
    <w:rsid w:val="340661A5"/>
    <w:rsid w:val="340903E3"/>
    <w:rsid w:val="340E30B9"/>
    <w:rsid w:val="341E3ACD"/>
    <w:rsid w:val="343678CD"/>
    <w:rsid w:val="34480B4A"/>
    <w:rsid w:val="345968B4"/>
    <w:rsid w:val="345A0C5F"/>
    <w:rsid w:val="345B087E"/>
    <w:rsid w:val="34702AF7"/>
    <w:rsid w:val="347F27BE"/>
    <w:rsid w:val="34897199"/>
    <w:rsid w:val="34AD7661"/>
    <w:rsid w:val="34B01E1E"/>
    <w:rsid w:val="34E16FD5"/>
    <w:rsid w:val="34E94961"/>
    <w:rsid w:val="34EA39B0"/>
    <w:rsid w:val="35171719"/>
    <w:rsid w:val="352E7D40"/>
    <w:rsid w:val="354B26A0"/>
    <w:rsid w:val="357243F8"/>
    <w:rsid w:val="35853917"/>
    <w:rsid w:val="35906305"/>
    <w:rsid w:val="35A26038"/>
    <w:rsid w:val="35AA3A3A"/>
    <w:rsid w:val="35AA4722"/>
    <w:rsid w:val="35FF0155"/>
    <w:rsid w:val="360B340E"/>
    <w:rsid w:val="365E28A7"/>
    <w:rsid w:val="366B14C0"/>
    <w:rsid w:val="369342FF"/>
    <w:rsid w:val="369D456C"/>
    <w:rsid w:val="36A8455A"/>
    <w:rsid w:val="36C95F72"/>
    <w:rsid w:val="36DF3C16"/>
    <w:rsid w:val="36E27034"/>
    <w:rsid w:val="36ED1FA3"/>
    <w:rsid w:val="372E4027"/>
    <w:rsid w:val="373F79B1"/>
    <w:rsid w:val="37537F32"/>
    <w:rsid w:val="376C4F8C"/>
    <w:rsid w:val="376F2F1F"/>
    <w:rsid w:val="378400EB"/>
    <w:rsid w:val="379F2985"/>
    <w:rsid w:val="37C03BF9"/>
    <w:rsid w:val="37E1109A"/>
    <w:rsid w:val="37E97122"/>
    <w:rsid w:val="382D2531"/>
    <w:rsid w:val="383A697D"/>
    <w:rsid w:val="385633E2"/>
    <w:rsid w:val="386F79F1"/>
    <w:rsid w:val="38767A34"/>
    <w:rsid w:val="388D2FD0"/>
    <w:rsid w:val="38983E4E"/>
    <w:rsid w:val="38A84A79"/>
    <w:rsid w:val="39400042"/>
    <w:rsid w:val="39490357"/>
    <w:rsid w:val="397877DC"/>
    <w:rsid w:val="3999678C"/>
    <w:rsid w:val="39D377DB"/>
    <w:rsid w:val="3A223DCB"/>
    <w:rsid w:val="3A3462BA"/>
    <w:rsid w:val="3A58475F"/>
    <w:rsid w:val="3A5E7E93"/>
    <w:rsid w:val="3A6E6C87"/>
    <w:rsid w:val="3AD13648"/>
    <w:rsid w:val="3B1C0596"/>
    <w:rsid w:val="3B2319C9"/>
    <w:rsid w:val="3B84063D"/>
    <w:rsid w:val="3B8875E3"/>
    <w:rsid w:val="3B955700"/>
    <w:rsid w:val="3BC95C98"/>
    <w:rsid w:val="3BDD7DCA"/>
    <w:rsid w:val="3BF42260"/>
    <w:rsid w:val="3C265C15"/>
    <w:rsid w:val="3C284C49"/>
    <w:rsid w:val="3C541BC5"/>
    <w:rsid w:val="3C7C5F7D"/>
    <w:rsid w:val="3C9506A5"/>
    <w:rsid w:val="3C9C7C85"/>
    <w:rsid w:val="3C9E3DCB"/>
    <w:rsid w:val="3CDB6174"/>
    <w:rsid w:val="3D050477"/>
    <w:rsid w:val="3D14341C"/>
    <w:rsid w:val="3D404852"/>
    <w:rsid w:val="3D477BF1"/>
    <w:rsid w:val="3D4A76E1"/>
    <w:rsid w:val="3D622C7D"/>
    <w:rsid w:val="3DB668C6"/>
    <w:rsid w:val="3DBD7EB3"/>
    <w:rsid w:val="3DEB4A20"/>
    <w:rsid w:val="3DF062BF"/>
    <w:rsid w:val="3E0618F6"/>
    <w:rsid w:val="3E0869AC"/>
    <w:rsid w:val="3E2C6DE7"/>
    <w:rsid w:val="3E32264F"/>
    <w:rsid w:val="3E3E1A04"/>
    <w:rsid w:val="3E53454B"/>
    <w:rsid w:val="3E6F204E"/>
    <w:rsid w:val="3E88151A"/>
    <w:rsid w:val="3E894239"/>
    <w:rsid w:val="3E8D3D29"/>
    <w:rsid w:val="3EAE5A4E"/>
    <w:rsid w:val="3EC62D97"/>
    <w:rsid w:val="3F0D6C18"/>
    <w:rsid w:val="3F1735F3"/>
    <w:rsid w:val="3F364D39"/>
    <w:rsid w:val="3F6207BA"/>
    <w:rsid w:val="3F810615"/>
    <w:rsid w:val="3F8E7D59"/>
    <w:rsid w:val="3F984C13"/>
    <w:rsid w:val="3FA72BC9"/>
    <w:rsid w:val="3FAA26B9"/>
    <w:rsid w:val="3FC90D91"/>
    <w:rsid w:val="3FD919BA"/>
    <w:rsid w:val="3FDC2B4A"/>
    <w:rsid w:val="3FFD010D"/>
    <w:rsid w:val="400A40D9"/>
    <w:rsid w:val="401F452F"/>
    <w:rsid w:val="40515724"/>
    <w:rsid w:val="408B38B3"/>
    <w:rsid w:val="40D40AAB"/>
    <w:rsid w:val="40D77011"/>
    <w:rsid w:val="40E90FBF"/>
    <w:rsid w:val="40FB76BC"/>
    <w:rsid w:val="41036525"/>
    <w:rsid w:val="41072D28"/>
    <w:rsid w:val="4110479E"/>
    <w:rsid w:val="4125450E"/>
    <w:rsid w:val="412973EA"/>
    <w:rsid w:val="417816C8"/>
    <w:rsid w:val="418B6AD6"/>
    <w:rsid w:val="41AA69A0"/>
    <w:rsid w:val="41F71B81"/>
    <w:rsid w:val="42010DBE"/>
    <w:rsid w:val="4278084D"/>
    <w:rsid w:val="428611BC"/>
    <w:rsid w:val="42922D64"/>
    <w:rsid w:val="42E04834"/>
    <w:rsid w:val="43140A2D"/>
    <w:rsid w:val="43301127"/>
    <w:rsid w:val="4355293C"/>
    <w:rsid w:val="436117D4"/>
    <w:rsid w:val="437049F2"/>
    <w:rsid w:val="43842246"/>
    <w:rsid w:val="43A7763B"/>
    <w:rsid w:val="43B92ECB"/>
    <w:rsid w:val="43BE0166"/>
    <w:rsid w:val="440F0504"/>
    <w:rsid w:val="4421185F"/>
    <w:rsid w:val="444C2BC0"/>
    <w:rsid w:val="445361E5"/>
    <w:rsid w:val="447C0AC8"/>
    <w:rsid w:val="4482717F"/>
    <w:rsid w:val="44B02520"/>
    <w:rsid w:val="44D05FB9"/>
    <w:rsid w:val="44D75CFE"/>
    <w:rsid w:val="452B1E36"/>
    <w:rsid w:val="452B6B92"/>
    <w:rsid w:val="453C7EA3"/>
    <w:rsid w:val="454B3FF6"/>
    <w:rsid w:val="45682DFA"/>
    <w:rsid w:val="456C5AB9"/>
    <w:rsid w:val="45952817"/>
    <w:rsid w:val="45A863B8"/>
    <w:rsid w:val="45BB6D3C"/>
    <w:rsid w:val="45CC15DB"/>
    <w:rsid w:val="45F91CA4"/>
    <w:rsid w:val="46431B1A"/>
    <w:rsid w:val="464E1FF0"/>
    <w:rsid w:val="466366B9"/>
    <w:rsid w:val="46955E71"/>
    <w:rsid w:val="46C55351"/>
    <w:rsid w:val="46D67F86"/>
    <w:rsid w:val="46F448C2"/>
    <w:rsid w:val="47060D7D"/>
    <w:rsid w:val="473F67A2"/>
    <w:rsid w:val="474536E0"/>
    <w:rsid w:val="47463365"/>
    <w:rsid w:val="476B55F6"/>
    <w:rsid w:val="47777325"/>
    <w:rsid w:val="47925F0D"/>
    <w:rsid w:val="47A876DF"/>
    <w:rsid w:val="47B370C9"/>
    <w:rsid w:val="47E27B17"/>
    <w:rsid w:val="48042FA6"/>
    <w:rsid w:val="481C57BF"/>
    <w:rsid w:val="48343468"/>
    <w:rsid w:val="485578E8"/>
    <w:rsid w:val="48680CE3"/>
    <w:rsid w:val="487516C9"/>
    <w:rsid w:val="48A73C3A"/>
    <w:rsid w:val="48D367DD"/>
    <w:rsid w:val="48E82D4D"/>
    <w:rsid w:val="494870F8"/>
    <w:rsid w:val="49537DE0"/>
    <w:rsid w:val="4977360C"/>
    <w:rsid w:val="49C72B69"/>
    <w:rsid w:val="4A0E6954"/>
    <w:rsid w:val="4A1A47F4"/>
    <w:rsid w:val="4A275032"/>
    <w:rsid w:val="4A275F90"/>
    <w:rsid w:val="4A280DAA"/>
    <w:rsid w:val="4A29760D"/>
    <w:rsid w:val="4A64191B"/>
    <w:rsid w:val="4A745F18"/>
    <w:rsid w:val="4A8B3EC0"/>
    <w:rsid w:val="4AAC4A05"/>
    <w:rsid w:val="4AB112AD"/>
    <w:rsid w:val="4AB918F6"/>
    <w:rsid w:val="4AD14F9E"/>
    <w:rsid w:val="4AEB42B2"/>
    <w:rsid w:val="4AF403AA"/>
    <w:rsid w:val="4AFD616C"/>
    <w:rsid w:val="4B0B04B0"/>
    <w:rsid w:val="4B7050AD"/>
    <w:rsid w:val="4BA30828"/>
    <w:rsid w:val="4BBE0554"/>
    <w:rsid w:val="4BBF20A9"/>
    <w:rsid w:val="4BD74836"/>
    <w:rsid w:val="4BED5E07"/>
    <w:rsid w:val="4BFD1393"/>
    <w:rsid w:val="4C1C26CD"/>
    <w:rsid w:val="4C2555A1"/>
    <w:rsid w:val="4C3F1BAE"/>
    <w:rsid w:val="4C5C4D3B"/>
    <w:rsid w:val="4C5D5CA7"/>
    <w:rsid w:val="4C76404F"/>
    <w:rsid w:val="4C933975"/>
    <w:rsid w:val="4CB02CCD"/>
    <w:rsid w:val="4CB26A62"/>
    <w:rsid w:val="4CE216E4"/>
    <w:rsid w:val="4CEE0366"/>
    <w:rsid w:val="4CF569B5"/>
    <w:rsid w:val="4CFB4947"/>
    <w:rsid w:val="4D04165B"/>
    <w:rsid w:val="4D11448E"/>
    <w:rsid w:val="4D1F5655"/>
    <w:rsid w:val="4D275D07"/>
    <w:rsid w:val="4D3A507C"/>
    <w:rsid w:val="4D5325E2"/>
    <w:rsid w:val="4D6848C0"/>
    <w:rsid w:val="4D9E5143"/>
    <w:rsid w:val="4D9F75D5"/>
    <w:rsid w:val="4DC97603"/>
    <w:rsid w:val="4DE163BF"/>
    <w:rsid w:val="4DFE10C7"/>
    <w:rsid w:val="4E140B6A"/>
    <w:rsid w:val="4E1B739A"/>
    <w:rsid w:val="4E233D62"/>
    <w:rsid w:val="4E407F3C"/>
    <w:rsid w:val="4E41243B"/>
    <w:rsid w:val="4E676345"/>
    <w:rsid w:val="4E8B5D8F"/>
    <w:rsid w:val="4E943545"/>
    <w:rsid w:val="4EB86BA1"/>
    <w:rsid w:val="4ECC43FA"/>
    <w:rsid w:val="4EE94FAC"/>
    <w:rsid w:val="4F107345"/>
    <w:rsid w:val="4F1847B3"/>
    <w:rsid w:val="4F2314B3"/>
    <w:rsid w:val="4F3B6076"/>
    <w:rsid w:val="4F533208"/>
    <w:rsid w:val="4FB619EF"/>
    <w:rsid w:val="4FC861DA"/>
    <w:rsid w:val="4FFB544B"/>
    <w:rsid w:val="500D6A78"/>
    <w:rsid w:val="500F69BB"/>
    <w:rsid w:val="50406E4E"/>
    <w:rsid w:val="505B77CA"/>
    <w:rsid w:val="50970A38"/>
    <w:rsid w:val="509B22D6"/>
    <w:rsid w:val="50A126B7"/>
    <w:rsid w:val="50A82C45"/>
    <w:rsid w:val="50AE094F"/>
    <w:rsid w:val="50DB294E"/>
    <w:rsid w:val="50DC3D6E"/>
    <w:rsid w:val="510936E3"/>
    <w:rsid w:val="511856D5"/>
    <w:rsid w:val="51321C80"/>
    <w:rsid w:val="515661FD"/>
    <w:rsid w:val="516A3A56"/>
    <w:rsid w:val="517255BD"/>
    <w:rsid w:val="517B5C63"/>
    <w:rsid w:val="51B13335"/>
    <w:rsid w:val="521D3CB5"/>
    <w:rsid w:val="52282E8D"/>
    <w:rsid w:val="52426781"/>
    <w:rsid w:val="52454FAD"/>
    <w:rsid w:val="52A70D2C"/>
    <w:rsid w:val="52E361B6"/>
    <w:rsid w:val="531210C9"/>
    <w:rsid w:val="532742F5"/>
    <w:rsid w:val="53413127"/>
    <w:rsid w:val="538434F5"/>
    <w:rsid w:val="538A03E0"/>
    <w:rsid w:val="539835FD"/>
    <w:rsid w:val="53B92A73"/>
    <w:rsid w:val="53C71634"/>
    <w:rsid w:val="53F45760"/>
    <w:rsid w:val="5406215C"/>
    <w:rsid w:val="54A379AB"/>
    <w:rsid w:val="54B27BEE"/>
    <w:rsid w:val="54BD0C40"/>
    <w:rsid w:val="54F75F49"/>
    <w:rsid w:val="55432F3C"/>
    <w:rsid w:val="5560589C"/>
    <w:rsid w:val="556C4241"/>
    <w:rsid w:val="5579695E"/>
    <w:rsid w:val="558C043F"/>
    <w:rsid w:val="559807C9"/>
    <w:rsid w:val="55A133E3"/>
    <w:rsid w:val="55B87486"/>
    <w:rsid w:val="55C404FA"/>
    <w:rsid w:val="55C45E2B"/>
    <w:rsid w:val="56101070"/>
    <w:rsid w:val="56203207"/>
    <w:rsid w:val="562A2C28"/>
    <w:rsid w:val="56431FA6"/>
    <w:rsid w:val="56610227"/>
    <w:rsid w:val="56702964"/>
    <w:rsid w:val="567B54EE"/>
    <w:rsid w:val="56846C29"/>
    <w:rsid w:val="5689497F"/>
    <w:rsid w:val="56A703F5"/>
    <w:rsid w:val="56D64EB7"/>
    <w:rsid w:val="56E314E0"/>
    <w:rsid w:val="57282705"/>
    <w:rsid w:val="573945F7"/>
    <w:rsid w:val="574C75A3"/>
    <w:rsid w:val="574D2F08"/>
    <w:rsid w:val="57754BF2"/>
    <w:rsid w:val="57CA16F3"/>
    <w:rsid w:val="57CA3880"/>
    <w:rsid w:val="57F32A52"/>
    <w:rsid w:val="57FE50EE"/>
    <w:rsid w:val="58073B8C"/>
    <w:rsid w:val="58256929"/>
    <w:rsid w:val="583F3E8F"/>
    <w:rsid w:val="58A57BB4"/>
    <w:rsid w:val="58BF0B2C"/>
    <w:rsid w:val="593E026C"/>
    <w:rsid w:val="593E5EF4"/>
    <w:rsid w:val="594D6137"/>
    <w:rsid w:val="5989503C"/>
    <w:rsid w:val="59A25D4A"/>
    <w:rsid w:val="59B14918"/>
    <w:rsid w:val="59B15C2B"/>
    <w:rsid w:val="59B25F2D"/>
    <w:rsid w:val="59D813A2"/>
    <w:rsid w:val="59D86349"/>
    <w:rsid w:val="59DD0C04"/>
    <w:rsid w:val="59EC76FE"/>
    <w:rsid w:val="5A034978"/>
    <w:rsid w:val="5A16280E"/>
    <w:rsid w:val="5A1B5A10"/>
    <w:rsid w:val="5A266807"/>
    <w:rsid w:val="5A2C21F1"/>
    <w:rsid w:val="5A6977D7"/>
    <w:rsid w:val="5A6E45B7"/>
    <w:rsid w:val="5A963B0E"/>
    <w:rsid w:val="5AA955EF"/>
    <w:rsid w:val="5B044F1C"/>
    <w:rsid w:val="5B070568"/>
    <w:rsid w:val="5B1C2265"/>
    <w:rsid w:val="5B2E3D47"/>
    <w:rsid w:val="5B33135D"/>
    <w:rsid w:val="5B4672E2"/>
    <w:rsid w:val="5B4A6DD2"/>
    <w:rsid w:val="5B572513"/>
    <w:rsid w:val="5B773CF2"/>
    <w:rsid w:val="5B953DC6"/>
    <w:rsid w:val="5B9B5880"/>
    <w:rsid w:val="5BF037E6"/>
    <w:rsid w:val="5C0F2714"/>
    <w:rsid w:val="5C346840"/>
    <w:rsid w:val="5C3A263A"/>
    <w:rsid w:val="5C814A76"/>
    <w:rsid w:val="5CAE513F"/>
    <w:rsid w:val="5CAF7F16"/>
    <w:rsid w:val="5CBE74EA"/>
    <w:rsid w:val="5CC56713"/>
    <w:rsid w:val="5CC71DD8"/>
    <w:rsid w:val="5CC777FC"/>
    <w:rsid w:val="5CCE3A33"/>
    <w:rsid w:val="5CD66444"/>
    <w:rsid w:val="5CF82EF2"/>
    <w:rsid w:val="5CF9414D"/>
    <w:rsid w:val="5CF9552F"/>
    <w:rsid w:val="5D0B433F"/>
    <w:rsid w:val="5D17501F"/>
    <w:rsid w:val="5D2E44D2"/>
    <w:rsid w:val="5D3C6BEF"/>
    <w:rsid w:val="5D4569AE"/>
    <w:rsid w:val="5D7C6FEB"/>
    <w:rsid w:val="5D883BE2"/>
    <w:rsid w:val="5D9B5E1F"/>
    <w:rsid w:val="5DA36C6E"/>
    <w:rsid w:val="5DAF116F"/>
    <w:rsid w:val="5DB426F2"/>
    <w:rsid w:val="5DF11787"/>
    <w:rsid w:val="5E2733FB"/>
    <w:rsid w:val="5E6F6B70"/>
    <w:rsid w:val="5E7128C8"/>
    <w:rsid w:val="5E785A05"/>
    <w:rsid w:val="5E7E5BC7"/>
    <w:rsid w:val="5EA467FA"/>
    <w:rsid w:val="5EAC5CC5"/>
    <w:rsid w:val="5EC24ED2"/>
    <w:rsid w:val="5EF64B7B"/>
    <w:rsid w:val="5F131BD1"/>
    <w:rsid w:val="5F1C68EB"/>
    <w:rsid w:val="5F3A658F"/>
    <w:rsid w:val="5F4B6DF9"/>
    <w:rsid w:val="5F5E109E"/>
    <w:rsid w:val="5F6D7533"/>
    <w:rsid w:val="5F904FD0"/>
    <w:rsid w:val="5F9E101E"/>
    <w:rsid w:val="5FD80582"/>
    <w:rsid w:val="60326087"/>
    <w:rsid w:val="603E7754"/>
    <w:rsid w:val="604D407A"/>
    <w:rsid w:val="60611691"/>
    <w:rsid w:val="6061582C"/>
    <w:rsid w:val="60787F3E"/>
    <w:rsid w:val="60940AF0"/>
    <w:rsid w:val="609D64AA"/>
    <w:rsid w:val="60A27B32"/>
    <w:rsid w:val="60BE5D83"/>
    <w:rsid w:val="60F82E2D"/>
    <w:rsid w:val="60FC0223"/>
    <w:rsid w:val="6155027F"/>
    <w:rsid w:val="618463A2"/>
    <w:rsid w:val="618741B1"/>
    <w:rsid w:val="61B90451"/>
    <w:rsid w:val="61E73B15"/>
    <w:rsid w:val="61EA259B"/>
    <w:rsid w:val="61EB473F"/>
    <w:rsid w:val="623B7475"/>
    <w:rsid w:val="62405FC3"/>
    <w:rsid w:val="62482F7C"/>
    <w:rsid w:val="62677DAD"/>
    <w:rsid w:val="6281113E"/>
    <w:rsid w:val="62935219"/>
    <w:rsid w:val="62CD6AEC"/>
    <w:rsid w:val="62D94595"/>
    <w:rsid w:val="63103C43"/>
    <w:rsid w:val="631E6C0A"/>
    <w:rsid w:val="63566066"/>
    <w:rsid w:val="63C60FC0"/>
    <w:rsid w:val="63CB65D6"/>
    <w:rsid w:val="63D41366"/>
    <w:rsid w:val="64153CF6"/>
    <w:rsid w:val="6451669A"/>
    <w:rsid w:val="64520AA6"/>
    <w:rsid w:val="647C1DCA"/>
    <w:rsid w:val="64805613"/>
    <w:rsid w:val="64AE24DF"/>
    <w:rsid w:val="64CB26DD"/>
    <w:rsid w:val="650171EE"/>
    <w:rsid w:val="65055B18"/>
    <w:rsid w:val="65295CAB"/>
    <w:rsid w:val="65433804"/>
    <w:rsid w:val="65572A4F"/>
    <w:rsid w:val="65684D07"/>
    <w:rsid w:val="657D2B9C"/>
    <w:rsid w:val="65956E9C"/>
    <w:rsid w:val="65A215B9"/>
    <w:rsid w:val="65D406EA"/>
    <w:rsid w:val="66542B2C"/>
    <w:rsid w:val="665723A3"/>
    <w:rsid w:val="667B400E"/>
    <w:rsid w:val="66911D59"/>
    <w:rsid w:val="66E005EB"/>
    <w:rsid w:val="66E174FE"/>
    <w:rsid w:val="66E53E53"/>
    <w:rsid w:val="66E55C01"/>
    <w:rsid w:val="66E81E36"/>
    <w:rsid w:val="66EA7812"/>
    <w:rsid w:val="6704527C"/>
    <w:rsid w:val="673F1F3F"/>
    <w:rsid w:val="67442824"/>
    <w:rsid w:val="677A0A3F"/>
    <w:rsid w:val="67987117"/>
    <w:rsid w:val="67A43BE0"/>
    <w:rsid w:val="67AB6E4B"/>
    <w:rsid w:val="67B37F71"/>
    <w:rsid w:val="67CE6C86"/>
    <w:rsid w:val="67D31319"/>
    <w:rsid w:val="67D72D6F"/>
    <w:rsid w:val="67DC6D5A"/>
    <w:rsid w:val="67E206D5"/>
    <w:rsid w:val="685A261F"/>
    <w:rsid w:val="68655F18"/>
    <w:rsid w:val="68B00491"/>
    <w:rsid w:val="68C14BF3"/>
    <w:rsid w:val="68FA309F"/>
    <w:rsid w:val="68FE0507"/>
    <w:rsid w:val="690F3409"/>
    <w:rsid w:val="692C5D69"/>
    <w:rsid w:val="692E7D33"/>
    <w:rsid w:val="692F7608"/>
    <w:rsid w:val="69401815"/>
    <w:rsid w:val="694A487B"/>
    <w:rsid w:val="695025CA"/>
    <w:rsid w:val="69765236"/>
    <w:rsid w:val="69AB0D0D"/>
    <w:rsid w:val="69B27B43"/>
    <w:rsid w:val="69BE0005"/>
    <w:rsid w:val="69DF2DDC"/>
    <w:rsid w:val="69EA352F"/>
    <w:rsid w:val="69EB2192"/>
    <w:rsid w:val="6A570136"/>
    <w:rsid w:val="6A695DCD"/>
    <w:rsid w:val="6A731776"/>
    <w:rsid w:val="6A753740"/>
    <w:rsid w:val="6A7A6FA8"/>
    <w:rsid w:val="6A7E2C0A"/>
    <w:rsid w:val="6AC10733"/>
    <w:rsid w:val="6AD2649C"/>
    <w:rsid w:val="6B0A059D"/>
    <w:rsid w:val="6B2111D2"/>
    <w:rsid w:val="6B361E7E"/>
    <w:rsid w:val="6B3C7DBA"/>
    <w:rsid w:val="6B3D4EC2"/>
    <w:rsid w:val="6B43383E"/>
    <w:rsid w:val="6B6F63E1"/>
    <w:rsid w:val="6BB16221"/>
    <w:rsid w:val="6BE40B7D"/>
    <w:rsid w:val="6BE45953"/>
    <w:rsid w:val="6BE94F3A"/>
    <w:rsid w:val="6BF40694"/>
    <w:rsid w:val="6C061F17"/>
    <w:rsid w:val="6C2F1E55"/>
    <w:rsid w:val="6C661592"/>
    <w:rsid w:val="6C741E4F"/>
    <w:rsid w:val="6C787517"/>
    <w:rsid w:val="6C841A18"/>
    <w:rsid w:val="6C914D27"/>
    <w:rsid w:val="6CAA6CFE"/>
    <w:rsid w:val="6CC369E5"/>
    <w:rsid w:val="6D013FEB"/>
    <w:rsid w:val="6D0419A5"/>
    <w:rsid w:val="6D1930EC"/>
    <w:rsid w:val="6D2F407A"/>
    <w:rsid w:val="6DB30918"/>
    <w:rsid w:val="6DB620A5"/>
    <w:rsid w:val="6DC42A14"/>
    <w:rsid w:val="6DCF4F15"/>
    <w:rsid w:val="6DD036A3"/>
    <w:rsid w:val="6DE81D0F"/>
    <w:rsid w:val="6DE85FD7"/>
    <w:rsid w:val="6DF76B0A"/>
    <w:rsid w:val="6E054DB3"/>
    <w:rsid w:val="6E0D5EB7"/>
    <w:rsid w:val="6E7004A6"/>
    <w:rsid w:val="6EBD700A"/>
    <w:rsid w:val="6EC72090"/>
    <w:rsid w:val="6ED53771"/>
    <w:rsid w:val="6EFD2502"/>
    <w:rsid w:val="6F046E40"/>
    <w:rsid w:val="6F1352D6"/>
    <w:rsid w:val="6F5E1724"/>
    <w:rsid w:val="6F6618A9"/>
    <w:rsid w:val="6F743FC6"/>
    <w:rsid w:val="6F783707"/>
    <w:rsid w:val="6F7D7049"/>
    <w:rsid w:val="6FE1043B"/>
    <w:rsid w:val="6FF670D1"/>
    <w:rsid w:val="700D7F77"/>
    <w:rsid w:val="706E310B"/>
    <w:rsid w:val="70794B97"/>
    <w:rsid w:val="707F4AA5"/>
    <w:rsid w:val="70860455"/>
    <w:rsid w:val="70860D62"/>
    <w:rsid w:val="70891C83"/>
    <w:rsid w:val="70981F36"/>
    <w:rsid w:val="70CD6084"/>
    <w:rsid w:val="70D016D0"/>
    <w:rsid w:val="70F35BF8"/>
    <w:rsid w:val="71160F53"/>
    <w:rsid w:val="71491244"/>
    <w:rsid w:val="71541EF8"/>
    <w:rsid w:val="71582A07"/>
    <w:rsid w:val="717943B6"/>
    <w:rsid w:val="71A33B87"/>
    <w:rsid w:val="71AE4713"/>
    <w:rsid w:val="71B27028"/>
    <w:rsid w:val="71D25565"/>
    <w:rsid w:val="71F11C1F"/>
    <w:rsid w:val="723314F1"/>
    <w:rsid w:val="727F33AE"/>
    <w:rsid w:val="72802C82"/>
    <w:rsid w:val="72A8433C"/>
    <w:rsid w:val="72AA7CFF"/>
    <w:rsid w:val="72BD1CA1"/>
    <w:rsid w:val="72C07522"/>
    <w:rsid w:val="72D468CD"/>
    <w:rsid w:val="73156124"/>
    <w:rsid w:val="7320374B"/>
    <w:rsid w:val="73426189"/>
    <w:rsid w:val="734C0DB6"/>
    <w:rsid w:val="735A3B0C"/>
    <w:rsid w:val="737427E7"/>
    <w:rsid w:val="737C78ED"/>
    <w:rsid w:val="73D94D40"/>
    <w:rsid w:val="742E508B"/>
    <w:rsid w:val="74692D8A"/>
    <w:rsid w:val="74933140"/>
    <w:rsid w:val="74B81FE2"/>
    <w:rsid w:val="74B86703"/>
    <w:rsid w:val="74CE23CA"/>
    <w:rsid w:val="74D6127F"/>
    <w:rsid w:val="74E813D5"/>
    <w:rsid w:val="74FF4332"/>
    <w:rsid w:val="751C1388"/>
    <w:rsid w:val="755F3023"/>
    <w:rsid w:val="75995FB8"/>
    <w:rsid w:val="75A1188D"/>
    <w:rsid w:val="75B50E95"/>
    <w:rsid w:val="75D25EEA"/>
    <w:rsid w:val="75F75951"/>
    <w:rsid w:val="75FC4D15"/>
    <w:rsid w:val="75FE0A8D"/>
    <w:rsid w:val="76097029"/>
    <w:rsid w:val="76133C04"/>
    <w:rsid w:val="764A4CEF"/>
    <w:rsid w:val="76720EF9"/>
    <w:rsid w:val="76880357"/>
    <w:rsid w:val="769D2054"/>
    <w:rsid w:val="76AA4771"/>
    <w:rsid w:val="76B53FA6"/>
    <w:rsid w:val="76CC0B8C"/>
    <w:rsid w:val="76E13170"/>
    <w:rsid w:val="76E311A3"/>
    <w:rsid w:val="772938E8"/>
    <w:rsid w:val="774424D0"/>
    <w:rsid w:val="77972F48"/>
    <w:rsid w:val="77A2369A"/>
    <w:rsid w:val="77B561D9"/>
    <w:rsid w:val="78300CA6"/>
    <w:rsid w:val="783267CC"/>
    <w:rsid w:val="783951EC"/>
    <w:rsid w:val="783C3AEF"/>
    <w:rsid w:val="783E1615"/>
    <w:rsid w:val="78485FF0"/>
    <w:rsid w:val="786C4C30"/>
    <w:rsid w:val="7874661E"/>
    <w:rsid w:val="78827754"/>
    <w:rsid w:val="78891A6B"/>
    <w:rsid w:val="78B91B03"/>
    <w:rsid w:val="78D12489"/>
    <w:rsid w:val="78DF0B63"/>
    <w:rsid w:val="7973634F"/>
    <w:rsid w:val="797F0066"/>
    <w:rsid w:val="79862855"/>
    <w:rsid w:val="79D33BD7"/>
    <w:rsid w:val="79E65AC0"/>
    <w:rsid w:val="7A0712A8"/>
    <w:rsid w:val="7A1A5F3C"/>
    <w:rsid w:val="7A293BFF"/>
    <w:rsid w:val="7A2E3F8E"/>
    <w:rsid w:val="7A5C5D83"/>
    <w:rsid w:val="7A63380E"/>
    <w:rsid w:val="7A7C01D3"/>
    <w:rsid w:val="7A7E002C"/>
    <w:rsid w:val="7A8734B8"/>
    <w:rsid w:val="7A8A6D94"/>
    <w:rsid w:val="7AB64546"/>
    <w:rsid w:val="7ACB4729"/>
    <w:rsid w:val="7AE70BAE"/>
    <w:rsid w:val="7AEC455F"/>
    <w:rsid w:val="7B05466C"/>
    <w:rsid w:val="7B4D1357"/>
    <w:rsid w:val="7B641393"/>
    <w:rsid w:val="7B6E2F9B"/>
    <w:rsid w:val="7B862B43"/>
    <w:rsid w:val="7B89704B"/>
    <w:rsid w:val="7BC71922"/>
    <w:rsid w:val="7BD57CCF"/>
    <w:rsid w:val="7C022E76"/>
    <w:rsid w:val="7C213B75"/>
    <w:rsid w:val="7C3163FF"/>
    <w:rsid w:val="7C896BD7"/>
    <w:rsid w:val="7C8D6749"/>
    <w:rsid w:val="7CA61385"/>
    <w:rsid w:val="7CB718F6"/>
    <w:rsid w:val="7CCC0C02"/>
    <w:rsid w:val="7CE64C01"/>
    <w:rsid w:val="7CFB7AD5"/>
    <w:rsid w:val="7D123C1F"/>
    <w:rsid w:val="7D2C7C8E"/>
    <w:rsid w:val="7D871368"/>
    <w:rsid w:val="7DD32800"/>
    <w:rsid w:val="7DF14781"/>
    <w:rsid w:val="7E0D3978"/>
    <w:rsid w:val="7E3A287F"/>
    <w:rsid w:val="7E6873EC"/>
    <w:rsid w:val="7EB10D93"/>
    <w:rsid w:val="7EB459DD"/>
    <w:rsid w:val="7ECD724F"/>
    <w:rsid w:val="7EE22D5E"/>
    <w:rsid w:val="7EF02C27"/>
    <w:rsid w:val="7EF91AB2"/>
    <w:rsid w:val="7EFB3E85"/>
    <w:rsid w:val="7F016EF9"/>
    <w:rsid w:val="7F0E20E8"/>
    <w:rsid w:val="7F177E9D"/>
    <w:rsid w:val="7F2729DE"/>
    <w:rsid w:val="7F841BB1"/>
    <w:rsid w:val="7F8C2C66"/>
    <w:rsid w:val="7FCF1996"/>
    <w:rsid w:val="7FD17D13"/>
    <w:rsid w:val="7FD7406F"/>
    <w:rsid w:val="7FF107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340" w:beforeLines="0" w:after="330" w:afterLines="0" w:line="578" w:lineRule="auto"/>
      <w:jc w:val="center"/>
      <w:outlineLvl w:val="0"/>
    </w:pPr>
    <w:rPr>
      <w:b/>
      <w:bCs/>
      <w:kern w:val="44"/>
      <w:sz w:val="32"/>
      <w:szCs w:val="44"/>
    </w:rPr>
  </w:style>
  <w:style w:type="paragraph" w:styleId="3">
    <w:name w:val="heading 2"/>
    <w:basedOn w:val="1"/>
    <w:next w:val="1"/>
    <w:qFormat/>
    <w:uiPriority w:val="0"/>
    <w:pPr>
      <w:keepNext/>
      <w:keepLines/>
      <w:numPr>
        <w:ilvl w:val="1"/>
        <w:numId w:val="1"/>
      </w:numPr>
      <w:adjustRightInd w:val="0"/>
      <w:spacing w:line="360" w:lineRule="atLeast"/>
      <w:textAlignment w:val="baseline"/>
      <w:outlineLvl w:val="1"/>
    </w:pPr>
    <w:rPr>
      <w:rFonts w:ascii="Times New Roman" w:hAnsi="Times New Roman" w:eastAsia="宋体" w:cs="Times New Roman"/>
      <w:kern w:val="0"/>
      <w:sz w:val="24"/>
      <w:szCs w:val="20"/>
    </w:rPr>
  </w:style>
  <w:style w:type="paragraph" w:styleId="4">
    <w:name w:val="heading 3"/>
    <w:basedOn w:val="1"/>
    <w:next w:val="1"/>
    <w:qFormat/>
    <w:uiPriority w:val="0"/>
    <w:pPr>
      <w:keepNext/>
      <w:keepLines/>
      <w:spacing w:before="260" w:beforeLines="0" w:after="260" w:afterLines="0" w:line="416" w:lineRule="atLeast"/>
      <w:jc w:val="both"/>
      <w:textAlignment w:val="baseline"/>
      <w:outlineLvl w:val="2"/>
    </w:pPr>
    <w:rPr>
      <w:rFonts w:ascii="Times New Roman" w:hAnsi="Times New Roman" w:eastAsia="宋体" w:cs="Times New Roman"/>
      <w:b/>
      <w:bCs/>
      <w:color w:val="000000"/>
      <w:sz w:val="32"/>
      <w:szCs w:val="32"/>
      <w:u w:val="none" w:color="000000"/>
      <w:lang w:val="en-US" w:eastAsia="zh-CN" w:bidi="ar-SA"/>
    </w:rPr>
  </w:style>
  <w:style w:type="paragraph" w:styleId="5">
    <w:name w:val="heading 4"/>
    <w:basedOn w:val="1"/>
    <w:next w:val="1"/>
    <w:link w:val="52"/>
    <w:qFormat/>
    <w:uiPriority w:val="0"/>
    <w:pPr>
      <w:keepNext/>
      <w:keepLines/>
      <w:widowControl/>
      <w:spacing w:before="280" w:beforeLines="0" w:after="290" w:afterLines="0" w:line="376" w:lineRule="atLeast"/>
      <w:textAlignment w:val="baseline"/>
      <w:outlineLvl w:val="3"/>
    </w:pPr>
    <w:rPr>
      <w:rFonts w:ascii="Arial" w:hAnsi="Arial" w:eastAsia="黑体"/>
      <w:b/>
      <w:bCs/>
      <w:color w:val="000000"/>
      <w:kern w:val="0"/>
      <w:sz w:val="28"/>
      <w:szCs w:val="28"/>
      <w:u w:val="none" w:color="000000"/>
    </w:rPr>
  </w:style>
  <w:style w:type="paragraph" w:styleId="6">
    <w:name w:val="heading 5"/>
    <w:basedOn w:val="1"/>
    <w:next w:val="1"/>
    <w:link w:val="53"/>
    <w:qFormat/>
    <w:uiPriority w:val="0"/>
    <w:pPr>
      <w:keepNext/>
      <w:keepLines/>
      <w:spacing w:before="280" w:beforeLines="0" w:after="290" w:afterLines="0" w:line="376" w:lineRule="auto"/>
      <w:outlineLvl w:val="4"/>
    </w:pPr>
    <w:rPr>
      <w:b/>
      <w:bCs/>
      <w:sz w:val="28"/>
      <w:szCs w:val="28"/>
    </w:rPr>
  </w:style>
  <w:style w:type="paragraph" w:styleId="7">
    <w:name w:val="heading 6"/>
    <w:basedOn w:val="1"/>
    <w:next w:val="1"/>
    <w:link w:val="54"/>
    <w:qFormat/>
    <w:uiPriority w:val="0"/>
    <w:pPr>
      <w:keepNext/>
      <w:keepLines/>
      <w:spacing w:before="240" w:beforeLines="0" w:after="64" w:afterLines="0" w:line="320" w:lineRule="auto"/>
      <w:outlineLvl w:val="5"/>
    </w:pPr>
    <w:rPr>
      <w:rFonts w:ascii="Cambria" w:hAnsi="Cambria"/>
      <w:b/>
      <w:bCs/>
      <w:sz w:val="24"/>
    </w:rPr>
  </w:style>
  <w:style w:type="paragraph" w:styleId="8">
    <w:name w:val="heading 7"/>
    <w:basedOn w:val="1"/>
    <w:next w:val="1"/>
    <w:link w:val="55"/>
    <w:qFormat/>
    <w:uiPriority w:val="0"/>
    <w:pPr>
      <w:keepNext/>
      <w:keepLines/>
      <w:spacing w:before="240" w:beforeLines="0" w:after="64" w:afterLines="0" w:line="320" w:lineRule="auto"/>
      <w:outlineLvl w:val="6"/>
    </w:pPr>
    <w:rPr>
      <w:b/>
      <w:bCs/>
      <w:sz w:val="24"/>
    </w:rPr>
  </w:style>
  <w:style w:type="character" w:default="1" w:styleId="36">
    <w:name w:val="Default Paragraph Font"/>
    <w:qFormat/>
    <w:uiPriority w:val="0"/>
    <w:rPr>
      <w:rFonts w:ascii="Times New Roman" w:hAnsi="Times New Roman" w:eastAsia="宋体" w:cs="Times New Roman"/>
    </w:rPr>
  </w:style>
  <w:style w:type="table" w:default="1" w:styleId="34">
    <w:name w:val="Normal Table"/>
    <w:semiHidden/>
    <w:qFormat/>
    <w:uiPriority w:val="0"/>
    <w:tblPr>
      <w:tblCellMar>
        <w:top w:w="0" w:type="dxa"/>
        <w:left w:w="108" w:type="dxa"/>
        <w:bottom w:w="0" w:type="dxa"/>
        <w:right w:w="108" w:type="dxa"/>
      </w:tblCellMar>
    </w:tblPr>
  </w:style>
  <w:style w:type="paragraph" w:styleId="9">
    <w:name w:val="toc 7"/>
    <w:basedOn w:val="1"/>
    <w:next w:val="1"/>
    <w:qFormat/>
    <w:uiPriority w:val="39"/>
    <w:pPr>
      <w:ind w:left="1260"/>
      <w:jc w:val="left"/>
    </w:pPr>
    <w:rPr>
      <w:sz w:val="18"/>
      <w:szCs w:val="18"/>
    </w:rPr>
  </w:style>
  <w:style w:type="paragraph" w:styleId="10">
    <w:name w:val="List Number 2"/>
    <w:basedOn w:val="1"/>
    <w:qFormat/>
    <w:uiPriority w:val="0"/>
    <w:pPr>
      <w:numPr>
        <w:ilvl w:val="0"/>
        <w:numId w:val="2"/>
      </w:numPr>
      <w:tabs>
        <w:tab w:val="left" w:pos="567"/>
        <w:tab w:val="clear" w:pos="425"/>
      </w:tabs>
      <w:adjustRightInd w:val="0"/>
      <w:spacing w:line="300" w:lineRule="auto"/>
      <w:textAlignment w:val="baseline"/>
    </w:pPr>
    <w:rPr>
      <w:rFonts w:ascii="Times New Roman" w:hAnsi="Times New Roman" w:eastAsia="宋体" w:cs="Times New Roman"/>
      <w:kern w:val="0"/>
      <w:sz w:val="28"/>
      <w:szCs w:val="20"/>
    </w:rPr>
  </w:style>
  <w:style w:type="paragraph" w:styleId="11">
    <w:name w:val="Normal Indent"/>
    <w:basedOn w:val="1"/>
    <w:next w:val="12"/>
    <w:qFormat/>
    <w:uiPriority w:val="0"/>
    <w:pPr>
      <w:adjustRightInd w:val="0"/>
      <w:spacing w:line="360" w:lineRule="atLeast"/>
      <w:ind w:firstLine="482"/>
      <w:textAlignment w:val="baseline"/>
    </w:pPr>
    <w:rPr>
      <w:rFonts w:ascii="Times New Roman" w:hAnsi="Times New Roman" w:eastAsia="宋体" w:cs="Times New Roman"/>
      <w:kern w:val="0"/>
      <w:sz w:val="24"/>
      <w:szCs w:val="20"/>
    </w:rPr>
  </w:style>
  <w:style w:type="paragraph" w:styleId="12">
    <w:name w:val="Body Text First Indent 2"/>
    <w:basedOn w:val="13"/>
    <w:next w:val="15"/>
    <w:link w:val="57"/>
    <w:qFormat/>
    <w:uiPriority w:val="0"/>
    <w:pPr>
      <w:ind w:left="420" w:firstLine="420" w:firstLineChars="200"/>
    </w:pPr>
    <w:rPr>
      <w:kern w:val="0"/>
      <w:sz w:val="20"/>
      <w:szCs w:val="20"/>
    </w:rPr>
  </w:style>
  <w:style w:type="paragraph" w:styleId="13">
    <w:name w:val="Body Text Indent"/>
    <w:basedOn w:val="1"/>
    <w:next w:val="14"/>
    <w:link w:val="56"/>
    <w:qFormat/>
    <w:uiPriority w:val="0"/>
    <w:pPr>
      <w:spacing w:after="120" w:afterLines="0"/>
      <w:ind w:left="200" w:leftChars="200"/>
    </w:pPr>
  </w:style>
  <w:style w:type="paragraph" w:styleId="14">
    <w:name w:val="envelope return"/>
    <w:basedOn w:val="1"/>
    <w:next w:val="9"/>
    <w:qFormat/>
    <w:uiPriority w:val="0"/>
    <w:pPr>
      <w:snapToGrid w:val="0"/>
    </w:pPr>
    <w:rPr>
      <w:rFonts w:ascii="Arial" w:hAnsi="Arial" w:eastAsia="宋体" w:cs="Times New Roman"/>
    </w:rPr>
  </w:style>
  <w:style w:type="paragraph" w:styleId="15">
    <w:name w:val="List"/>
    <w:basedOn w:val="1"/>
    <w:next w:val="1"/>
    <w:qFormat/>
    <w:uiPriority w:val="0"/>
    <w:pPr>
      <w:widowControl w:val="0"/>
      <w:spacing w:line="240" w:lineRule="auto"/>
      <w:ind w:left="420" w:hanging="420"/>
      <w:textAlignment w:val="auto"/>
    </w:pPr>
    <w:rPr>
      <w:rFonts w:ascii="Arial" w:hAnsi="Arial" w:eastAsia="楷体_GB2312" w:cs="Times New Roman"/>
      <w:color w:val="auto"/>
      <w:kern w:val="2"/>
      <w:sz w:val="28"/>
      <w:u w:val="none" w:color="auto"/>
    </w:rPr>
  </w:style>
  <w:style w:type="paragraph" w:styleId="16">
    <w:name w:val="Document Map"/>
    <w:basedOn w:val="1"/>
    <w:next w:val="1"/>
    <w:qFormat/>
    <w:uiPriority w:val="0"/>
    <w:pPr>
      <w:widowControl/>
      <w:shd w:val="clear" w:color="000000" w:fill="000080"/>
      <w:autoSpaceDE/>
      <w:autoSpaceDN/>
      <w:spacing w:before="0" w:beforeLines="0" w:after="0" w:afterLines="0" w:line="357" w:lineRule="atLeast"/>
      <w:ind w:left="0" w:firstLine="0"/>
      <w:jc w:val="both"/>
    </w:pPr>
    <w:rPr>
      <w:rFonts w:ascii="Times New Roman" w:hAnsi="Times New Roman" w:eastAsia="宋体" w:cs="Times New Roman"/>
      <w:color w:val="000000"/>
      <w:sz w:val="21"/>
    </w:rPr>
  </w:style>
  <w:style w:type="paragraph" w:styleId="17">
    <w:name w:val="annotation text"/>
    <w:basedOn w:val="1"/>
    <w:link w:val="58"/>
    <w:qFormat/>
    <w:uiPriority w:val="0"/>
    <w:pPr>
      <w:jc w:val="left"/>
    </w:pPr>
  </w:style>
  <w:style w:type="paragraph" w:styleId="18">
    <w:name w:val="Body Text"/>
    <w:basedOn w:val="1"/>
    <w:next w:val="1"/>
    <w:qFormat/>
    <w:uiPriority w:val="0"/>
    <w:pPr>
      <w:spacing w:after="120" w:afterLines="0"/>
    </w:pPr>
    <w:rPr>
      <w:rFonts w:ascii="Times New Roman" w:hAnsi="Times New Roman" w:eastAsia="宋体" w:cs="Times New Roman"/>
    </w:rPr>
  </w:style>
  <w:style w:type="paragraph" w:styleId="19">
    <w:name w:val="toc 3"/>
    <w:basedOn w:val="1"/>
    <w:next w:val="1"/>
    <w:qFormat/>
    <w:uiPriority w:val="0"/>
    <w:pPr>
      <w:tabs>
        <w:tab w:val="right" w:leader="dot" w:pos="9288"/>
      </w:tabs>
      <w:ind w:left="400" w:leftChars="400"/>
    </w:pPr>
    <w:rPr>
      <w:rFonts w:ascii="宋体" w:hAnsi="Times New Roman" w:eastAsia="宋体" w:cs="Times New Roman"/>
    </w:rPr>
  </w:style>
  <w:style w:type="paragraph" w:styleId="20">
    <w:name w:val="Plain Text"/>
    <w:basedOn w:val="1"/>
    <w:next w:val="1"/>
    <w:link w:val="59"/>
    <w:qFormat/>
    <w:uiPriority w:val="0"/>
    <w:rPr>
      <w:rFonts w:ascii="宋体"/>
      <w:color w:val="000000"/>
      <w:szCs w:val="20"/>
      <w:u w:val="none" w:color="000000"/>
    </w:rPr>
  </w:style>
  <w:style w:type="paragraph" w:styleId="21">
    <w:name w:val="Date"/>
    <w:basedOn w:val="1"/>
    <w:next w:val="1"/>
    <w:link w:val="60"/>
    <w:qFormat/>
    <w:uiPriority w:val="0"/>
    <w:rPr>
      <w:rFonts w:ascii="Arial" w:hAnsi="Arial" w:eastAsia="仿宋_GB2312"/>
      <w:color w:val="000000"/>
      <w:sz w:val="32"/>
      <w:szCs w:val="20"/>
      <w:u w:val="none" w:color="000000"/>
    </w:rPr>
  </w:style>
  <w:style w:type="paragraph" w:styleId="22">
    <w:name w:val="Body Text Indent 2"/>
    <w:basedOn w:val="1"/>
    <w:link w:val="61"/>
    <w:qFormat/>
    <w:uiPriority w:val="0"/>
    <w:pPr>
      <w:spacing w:after="120" w:afterLines="0" w:line="480" w:lineRule="auto"/>
      <w:ind w:left="420" w:leftChars="200"/>
    </w:pPr>
  </w:style>
  <w:style w:type="paragraph" w:styleId="23">
    <w:name w:val="Balloon Text"/>
    <w:basedOn w:val="1"/>
    <w:link w:val="62"/>
    <w:qFormat/>
    <w:uiPriority w:val="0"/>
    <w:rPr>
      <w:sz w:val="18"/>
      <w:szCs w:val="18"/>
    </w:rPr>
  </w:style>
  <w:style w:type="paragraph" w:styleId="24">
    <w:name w:val="footer"/>
    <w:basedOn w:val="1"/>
    <w:link w:val="63"/>
    <w:qFormat/>
    <w:uiPriority w:val="0"/>
    <w:pPr>
      <w:tabs>
        <w:tab w:val="center" w:pos="4153"/>
        <w:tab w:val="right" w:pos="8306"/>
      </w:tabs>
      <w:snapToGrid w:val="0"/>
      <w:jc w:val="left"/>
    </w:pPr>
    <w:rPr>
      <w:sz w:val="18"/>
      <w:szCs w:val="18"/>
    </w:rPr>
  </w:style>
  <w:style w:type="paragraph" w:styleId="25">
    <w:name w:val="header"/>
    <w:basedOn w:val="1"/>
    <w:link w:val="64"/>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0"/>
    <w:rPr>
      <w:rFonts w:ascii="Times New Roman" w:hAnsi="Times New Roman" w:eastAsia="宋体" w:cs="Times New Roman"/>
    </w:rPr>
  </w:style>
  <w:style w:type="paragraph" w:styleId="27">
    <w:name w:val="Subtitle"/>
    <w:basedOn w:val="1"/>
    <w:next w:val="1"/>
    <w:qFormat/>
    <w:uiPriority w:val="0"/>
    <w:pPr>
      <w:numPr>
        <w:ilvl w:val="0"/>
        <w:numId w:val="3"/>
      </w:numPr>
      <w:spacing w:line="360" w:lineRule="auto"/>
      <w:jc w:val="left"/>
      <w:outlineLvl w:val="1"/>
    </w:pPr>
    <w:rPr>
      <w:rFonts w:ascii="Calibri Light" w:hAnsi="Calibri Light" w:eastAsia="宋体" w:cs="Times New Roman"/>
      <w:bCs/>
      <w:kern w:val="28"/>
      <w:szCs w:val="32"/>
    </w:rPr>
  </w:style>
  <w:style w:type="paragraph" w:styleId="28">
    <w:name w:val="toc 2"/>
    <w:basedOn w:val="1"/>
    <w:next w:val="1"/>
    <w:uiPriority w:val="0"/>
    <w:pPr>
      <w:ind w:left="200" w:leftChars="200"/>
    </w:pPr>
    <w:rPr>
      <w:rFonts w:ascii="Times New Roman" w:hAnsi="Times New Roman" w:eastAsia="宋体" w:cs="Times New Roman"/>
    </w:rPr>
  </w:style>
  <w:style w:type="paragraph"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Arial" w:hAnsi="Arial"/>
    </w:rPr>
  </w:style>
  <w:style w:type="paragraph" w:styleId="30">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styleId="31">
    <w:name w:val="Title"/>
    <w:basedOn w:val="1"/>
    <w:next w:val="1"/>
    <w:qFormat/>
    <w:uiPriority w:val="0"/>
    <w:pPr>
      <w:numPr>
        <w:ilvl w:val="0"/>
        <w:numId w:val="4"/>
      </w:numPr>
      <w:spacing w:line="360" w:lineRule="auto"/>
      <w:jc w:val="left"/>
      <w:outlineLvl w:val="0"/>
    </w:pPr>
    <w:rPr>
      <w:rFonts w:ascii="Cambria" w:hAnsi="Cambria" w:eastAsia="宋体" w:cs="Times New Roman"/>
      <w:b/>
      <w:bCs/>
      <w:sz w:val="28"/>
      <w:szCs w:val="32"/>
    </w:rPr>
  </w:style>
  <w:style w:type="paragraph" w:styleId="32">
    <w:name w:val="annotation subject"/>
    <w:basedOn w:val="17"/>
    <w:next w:val="17"/>
    <w:link w:val="65"/>
    <w:uiPriority w:val="0"/>
    <w:rPr>
      <w:b/>
      <w:bCs/>
    </w:rPr>
  </w:style>
  <w:style w:type="paragraph" w:styleId="33">
    <w:name w:val="Body Text First Indent"/>
    <w:basedOn w:val="18"/>
    <w:next w:val="1"/>
    <w:qFormat/>
    <w:uiPriority w:val="0"/>
    <w:pPr>
      <w:ind w:firstLine="420" w:firstLineChars="100"/>
    </w:pPr>
    <w:rPr>
      <w:rFonts w:ascii="Times New Roman" w:hAnsi="Times New Roman" w:eastAsia="宋体" w:cs="Times New Roman"/>
    </w:r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qFormat/>
    <w:uiPriority w:val="0"/>
    <w:rPr>
      <w:rFonts w:ascii="Times New Roman" w:hAnsi="Times New Roman" w:eastAsia="宋体" w:cs="Times New Roman"/>
      <w:b/>
    </w:rPr>
  </w:style>
  <w:style w:type="character" w:styleId="38">
    <w:name w:val="page number"/>
    <w:uiPriority w:val="0"/>
    <w:rPr>
      <w:rFonts w:ascii="Times New Roman" w:hAnsi="Times New Roman" w:eastAsia="宋体" w:cs="Times New Roman"/>
    </w:rPr>
  </w:style>
  <w:style w:type="character" w:styleId="39">
    <w:name w:val="FollowedHyperlink"/>
    <w:qFormat/>
    <w:uiPriority w:val="0"/>
    <w:rPr>
      <w:rFonts w:ascii="Times New Roman" w:hAnsi="Times New Roman" w:eastAsia="宋体" w:cs="Times New Roman"/>
      <w:color w:val="333333"/>
      <w:u w:val="none"/>
    </w:rPr>
  </w:style>
  <w:style w:type="character" w:styleId="40">
    <w:name w:val="Emphasis"/>
    <w:qFormat/>
    <w:uiPriority w:val="0"/>
    <w:rPr>
      <w:rFonts w:ascii="Times New Roman" w:hAnsi="Times New Roman" w:eastAsia="宋体" w:cs="Times New Roman"/>
      <w:i/>
      <w:iCs/>
    </w:rPr>
  </w:style>
  <w:style w:type="character" w:styleId="41">
    <w:name w:val="HTML Definition"/>
    <w:qFormat/>
    <w:uiPriority w:val="0"/>
    <w:rPr>
      <w:rFonts w:ascii="Times New Roman" w:hAnsi="Times New Roman" w:eastAsia="宋体" w:cs="Times New Roman"/>
    </w:rPr>
  </w:style>
  <w:style w:type="character" w:styleId="42">
    <w:name w:val="HTML Typewriter"/>
    <w:uiPriority w:val="0"/>
    <w:rPr>
      <w:rFonts w:hint="default" w:ascii="monospace" w:hAnsi="monospace" w:eastAsia="monospace" w:cs="monospace"/>
      <w:sz w:val="20"/>
    </w:rPr>
  </w:style>
  <w:style w:type="character" w:styleId="43">
    <w:name w:val="HTML Acronym"/>
    <w:uiPriority w:val="0"/>
    <w:rPr>
      <w:rFonts w:ascii="Times New Roman" w:hAnsi="Times New Roman" w:eastAsia="宋体" w:cs="Times New Roman"/>
    </w:rPr>
  </w:style>
  <w:style w:type="character" w:styleId="44">
    <w:name w:val="HTML Variable"/>
    <w:qFormat/>
    <w:uiPriority w:val="0"/>
    <w:rPr>
      <w:rFonts w:ascii="Times New Roman" w:hAnsi="Times New Roman" w:eastAsia="宋体" w:cs="Times New Roman"/>
    </w:rPr>
  </w:style>
  <w:style w:type="character" w:styleId="45">
    <w:name w:val="Hyperlink"/>
    <w:qFormat/>
    <w:uiPriority w:val="0"/>
    <w:rPr>
      <w:rFonts w:ascii="Times New Roman" w:hAnsi="Times New Roman" w:eastAsia="宋体" w:cs="Times New Roman"/>
      <w:color w:val="333333"/>
      <w:u w:val="none"/>
    </w:rPr>
  </w:style>
  <w:style w:type="character" w:styleId="46">
    <w:name w:val="HTML Code"/>
    <w:qFormat/>
    <w:uiPriority w:val="0"/>
    <w:rPr>
      <w:rFonts w:hint="default" w:ascii="monospace" w:hAnsi="monospace" w:eastAsia="monospace" w:cs="monospace"/>
      <w:sz w:val="20"/>
    </w:rPr>
  </w:style>
  <w:style w:type="character" w:styleId="47">
    <w:name w:val="annotation reference"/>
    <w:qFormat/>
    <w:uiPriority w:val="0"/>
    <w:rPr>
      <w:rFonts w:ascii="Times New Roman" w:hAnsi="Times New Roman" w:eastAsia="宋体" w:cs="Times New Roman"/>
      <w:sz w:val="21"/>
      <w:szCs w:val="21"/>
    </w:rPr>
  </w:style>
  <w:style w:type="character" w:styleId="48">
    <w:name w:val="HTML Cite"/>
    <w:qFormat/>
    <w:uiPriority w:val="0"/>
    <w:rPr>
      <w:rFonts w:ascii="Times New Roman" w:hAnsi="Times New Roman" w:eastAsia="宋体" w:cs="Times New Roman"/>
    </w:rPr>
  </w:style>
  <w:style w:type="character" w:styleId="49">
    <w:name w:val="HTML Keyboard"/>
    <w:qFormat/>
    <w:uiPriority w:val="0"/>
    <w:rPr>
      <w:rFonts w:hint="default" w:ascii="monospace" w:hAnsi="monospace" w:eastAsia="monospace" w:cs="monospace"/>
      <w:sz w:val="20"/>
    </w:rPr>
  </w:style>
  <w:style w:type="character" w:styleId="50">
    <w:name w:val="HTML Sample"/>
    <w:qFormat/>
    <w:uiPriority w:val="0"/>
    <w:rPr>
      <w:rFonts w:ascii="monospace" w:hAnsi="monospace" w:eastAsia="monospace" w:cs="monospace"/>
    </w:rPr>
  </w:style>
  <w:style w:type="character" w:customStyle="1" w:styleId="51">
    <w:name w:val="标题 1 Char"/>
    <w:link w:val="2"/>
    <w:qFormat/>
    <w:uiPriority w:val="0"/>
    <w:rPr>
      <w:rFonts w:ascii="Times New Roman" w:hAnsi="Times New Roman" w:eastAsia="宋体" w:cs="Times New Roman"/>
      <w:b/>
      <w:bCs/>
      <w:kern w:val="44"/>
      <w:sz w:val="32"/>
      <w:szCs w:val="44"/>
    </w:rPr>
  </w:style>
  <w:style w:type="character" w:customStyle="1" w:styleId="52">
    <w:name w:val="标题 4 Char"/>
    <w:link w:val="5"/>
    <w:qFormat/>
    <w:uiPriority w:val="0"/>
    <w:rPr>
      <w:rFonts w:ascii="Arial" w:hAnsi="Arial" w:eastAsia="黑体" w:cs="Times New Roman"/>
      <w:b/>
      <w:bCs/>
      <w:color w:val="000000"/>
      <w:sz w:val="28"/>
      <w:szCs w:val="28"/>
      <w:u w:val="none" w:color="000000"/>
      <w:lang w:val="en-US" w:eastAsia="zh-CN" w:bidi="ar-SA"/>
    </w:rPr>
  </w:style>
  <w:style w:type="character" w:customStyle="1" w:styleId="53">
    <w:name w:val="标题 5 Char"/>
    <w:link w:val="6"/>
    <w:qFormat/>
    <w:uiPriority w:val="0"/>
    <w:rPr>
      <w:rFonts w:ascii="Times New Roman" w:hAnsi="Times New Roman" w:eastAsia="宋体" w:cs="Times New Roman"/>
      <w:b/>
      <w:bCs/>
      <w:kern w:val="2"/>
      <w:sz w:val="28"/>
      <w:szCs w:val="28"/>
    </w:rPr>
  </w:style>
  <w:style w:type="character" w:customStyle="1" w:styleId="54">
    <w:name w:val="标题 6 Char"/>
    <w:link w:val="7"/>
    <w:qFormat/>
    <w:uiPriority w:val="0"/>
    <w:rPr>
      <w:rFonts w:ascii="Cambria" w:hAnsi="Cambria" w:eastAsia="宋体" w:cs="Times New Roman"/>
      <w:b/>
      <w:bCs/>
      <w:kern w:val="2"/>
      <w:sz w:val="24"/>
      <w:szCs w:val="24"/>
    </w:rPr>
  </w:style>
  <w:style w:type="character" w:customStyle="1" w:styleId="55">
    <w:name w:val="标题 7 Char"/>
    <w:link w:val="8"/>
    <w:qFormat/>
    <w:uiPriority w:val="0"/>
    <w:rPr>
      <w:rFonts w:ascii="Times New Roman" w:hAnsi="Times New Roman" w:eastAsia="宋体" w:cs="Times New Roman"/>
      <w:b/>
      <w:bCs/>
      <w:kern w:val="2"/>
      <w:sz w:val="24"/>
      <w:szCs w:val="24"/>
    </w:rPr>
  </w:style>
  <w:style w:type="character" w:customStyle="1" w:styleId="56">
    <w:name w:val="正文文本缩进 Char"/>
    <w:link w:val="13"/>
    <w:uiPriority w:val="0"/>
    <w:rPr>
      <w:rFonts w:ascii="Times New Roman" w:hAnsi="Times New Roman" w:eastAsia="宋体" w:cs="Times New Roman"/>
      <w:kern w:val="2"/>
      <w:sz w:val="21"/>
      <w:szCs w:val="24"/>
    </w:rPr>
  </w:style>
  <w:style w:type="character" w:customStyle="1" w:styleId="57">
    <w:name w:val="正文首行缩进 2 Char"/>
    <w:link w:val="12"/>
    <w:qFormat/>
    <w:uiPriority w:val="0"/>
    <w:rPr>
      <w:rFonts w:ascii="Times New Roman" w:hAnsi="Times New Roman" w:eastAsia="宋体" w:cs="Times New Roman"/>
    </w:rPr>
  </w:style>
  <w:style w:type="character" w:customStyle="1" w:styleId="58">
    <w:name w:val="批注文字 Char"/>
    <w:link w:val="17"/>
    <w:qFormat/>
    <w:uiPriority w:val="0"/>
    <w:rPr>
      <w:rFonts w:ascii="Times New Roman" w:hAnsi="Times New Roman" w:eastAsia="宋体" w:cs="Times New Roman"/>
      <w:kern w:val="2"/>
      <w:sz w:val="21"/>
      <w:szCs w:val="24"/>
    </w:rPr>
  </w:style>
  <w:style w:type="character" w:customStyle="1" w:styleId="59">
    <w:name w:val="纯文本 Char"/>
    <w:link w:val="20"/>
    <w:qFormat/>
    <w:uiPriority w:val="0"/>
    <w:rPr>
      <w:rFonts w:ascii="宋体" w:hAnsi="Times New Roman" w:eastAsia="宋体" w:cs="Times New Roman"/>
      <w:color w:val="000000"/>
      <w:kern w:val="2"/>
      <w:sz w:val="21"/>
      <w:u w:val="none" w:color="000000"/>
      <w:lang w:val="en-US" w:eastAsia="zh-CN" w:bidi="ar-SA"/>
    </w:rPr>
  </w:style>
  <w:style w:type="character" w:customStyle="1" w:styleId="60">
    <w:name w:val="日期 Char"/>
    <w:link w:val="21"/>
    <w:uiPriority w:val="0"/>
    <w:rPr>
      <w:rFonts w:ascii="Arial" w:hAnsi="Arial" w:eastAsia="仿宋_GB2312" w:cs="Times New Roman"/>
      <w:color w:val="000000"/>
      <w:kern w:val="2"/>
      <w:sz w:val="32"/>
      <w:u w:val="none" w:color="000000"/>
    </w:rPr>
  </w:style>
  <w:style w:type="character" w:customStyle="1" w:styleId="61">
    <w:name w:val="正文文本缩进 2 Char"/>
    <w:link w:val="22"/>
    <w:qFormat/>
    <w:uiPriority w:val="0"/>
    <w:rPr>
      <w:rFonts w:ascii="Times New Roman" w:hAnsi="Times New Roman" w:eastAsia="宋体" w:cs="Times New Roman"/>
      <w:kern w:val="2"/>
      <w:sz w:val="21"/>
      <w:szCs w:val="24"/>
    </w:rPr>
  </w:style>
  <w:style w:type="character" w:customStyle="1" w:styleId="62">
    <w:name w:val="批注框文本 Char"/>
    <w:link w:val="23"/>
    <w:uiPriority w:val="0"/>
    <w:rPr>
      <w:rFonts w:ascii="Times New Roman" w:hAnsi="Times New Roman" w:eastAsia="宋体" w:cs="Times New Roman"/>
      <w:kern w:val="2"/>
      <w:sz w:val="18"/>
      <w:szCs w:val="18"/>
    </w:rPr>
  </w:style>
  <w:style w:type="character" w:customStyle="1" w:styleId="63">
    <w:name w:val="页脚 Char"/>
    <w:link w:val="24"/>
    <w:qFormat/>
    <w:uiPriority w:val="0"/>
    <w:rPr>
      <w:rFonts w:ascii="Times New Roman" w:hAnsi="Times New Roman" w:eastAsia="宋体" w:cs="Times New Roman"/>
      <w:kern w:val="2"/>
      <w:sz w:val="18"/>
      <w:szCs w:val="18"/>
    </w:rPr>
  </w:style>
  <w:style w:type="character" w:customStyle="1" w:styleId="64">
    <w:name w:val="页眉 Char"/>
    <w:link w:val="25"/>
    <w:qFormat/>
    <w:uiPriority w:val="0"/>
    <w:rPr>
      <w:rFonts w:ascii="Times New Roman" w:hAnsi="Times New Roman" w:eastAsia="宋体" w:cs="Times New Roman"/>
      <w:kern w:val="2"/>
      <w:sz w:val="18"/>
      <w:szCs w:val="18"/>
    </w:rPr>
  </w:style>
  <w:style w:type="character" w:customStyle="1" w:styleId="65">
    <w:name w:val="批注主题 Char"/>
    <w:link w:val="32"/>
    <w:uiPriority w:val="0"/>
    <w:rPr>
      <w:rFonts w:ascii="Times New Roman" w:hAnsi="Times New Roman" w:eastAsia="宋体" w:cs="Times New Roman"/>
      <w:b/>
      <w:bCs/>
      <w:kern w:val="2"/>
      <w:sz w:val="21"/>
      <w:szCs w:val="24"/>
    </w:rPr>
  </w:style>
  <w:style w:type="paragraph" w:customStyle="1" w:styleId="66">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67">
    <w:name w:val="图表 Char Char"/>
    <w:link w:val="68"/>
    <w:qFormat/>
    <w:uiPriority w:val="0"/>
    <w:rPr>
      <w:rFonts w:ascii="Times New Roman" w:hAnsi="Times New Roman" w:eastAsia="宋体" w:cs="Times New Roman"/>
      <w:kern w:val="2"/>
      <w:sz w:val="21"/>
      <w:szCs w:val="21"/>
    </w:rPr>
  </w:style>
  <w:style w:type="paragraph" w:customStyle="1" w:styleId="68">
    <w:name w:val="图表"/>
    <w:basedOn w:val="1"/>
    <w:next w:val="1"/>
    <w:link w:val="67"/>
    <w:qFormat/>
    <w:uiPriority w:val="0"/>
    <w:pPr>
      <w:jc w:val="center"/>
    </w:pPr>
    <w:rPr>
      <w:szCs w:val="21"/>
    </w:rPr>
  </w:style>
  <w:style w:type="character" w:customStyle="1" w:styleId="69">
    <w:name w:val="【正文】 Char Char"/>
    <w:link w:val="70"/>
    <w:qFormat/>
    <w:uiPriority w:val="0"/>
    <w:rPr>
      <w:rFonts w:ascii="Times New Roman" w:hAnsi="Times New Roman" w:eastAsia="宋体" w:cs="DokChampa"/>
      <w:kern w:val="2"/>
      <w:sz w:val="24"/>
      <w:szCs w:val="22"/>
    </w:rPr>
  </w:style>
  <w:style w:type="paragraph" w:customStyle="1" w:styleId="70">
    <w:name w:val="【正文】"/>
    <w:basedOn w:val="1"/>
    <w:link w:val="69"/>
    <w:qFormat/>
    <w:uiPriority w:val="0"/>
    <w:pPr>
      <w:spacing w:line="360" w:lineRule="auto"/>
      <w:ind w:firstLine="480" w:firstLineChars="200"/>
    </w:pPr>
    <w:rPr>
      <w:sz w:val="24"/>
      <w:szCs w:val="22"/>
    </w:rPr>
  </w:style>
  <w:style w:type="character" w:customStyle="1" w:styleId="71">
    <w:name w:val="selected"/>
    <w:qFormat/>
    <w:uiPriority w:val="0"/>
    <w:rPr>
      <w:rFonts w:ascii="Times New Roman" w:hAnsi="Times New Roman" w:eastAsia="宋体" w:cs="Times New Roman"/>
      <w:shd w:val="clear" w:color="auto" w:fill="B00006"/>
    </w:rPr>
  </w:style>
  <w:style w:type="character" w:customStyle="1" w:styleId="72">
    <w:name w:val="font21"/>
    <w:qFormat/>
    <w:uiPriority w:val="0"/>
    <w:rPr>
      <w:rFonts w:hint="eastAsia" w:ascii="宋体" w:hAnsi="宋体" w:eastAsia="宋体" w:cs="宋体"/>
      <w:color w:val="000000"/>
      <w:sz w:val="18"/>
      <w:szCs w:val="18"/>
      <w:u w:val="none"/>
    </w:rPr>
  </w:style>
  <w:style w:type="character" w:customStyle="1" w:styleId="73">
    <w:name w:val="bds_nopic"/>
    <w:uiPriority w:val="0"/>
    <w:rPr>
      <w:rFonts w:ascii="Times New Roman" w:hAnsi="Times New Roman" w:eastAsia="宋体" w:cs="Times New Roman"/>
    </w:rPr>
  </w:style>
  <w:style w:type="character" w:customStyle="1" w:styleId="74">
    <w:name w:val="NormalCharacter"/>
    <w:qFormat/>
    <w:uiPriority w:val="0"/>
    <w:rPr>
      <w:rFonts w:ascii="Times New Roman" w:hAnsi="Times New Roman" w:eastAsia="宋体" w:cs="Times New Roman"/>
      <w:kern w:val="2"/>
      <w:sz w:val="21"/>
      <w:szCs w:val="24"/>
      <w:lang w:val="en-US" w:eastAsia="zh-CN" w:bidi="ar-SA"/>
    </w:rPr>
  </w:style>
  <w:style w:type="character" w:customStyle="1" w:styleId="75">
    <w:name w:val="gpa"/>
    <w:qFormat/>
    <w:uiPriority w:val="0"/>
    <w:rPr>
      <w:rFonts w:ascii="Arial" w:hAnsi="Arial" w:eastAsia="宋体" w:cs="Arial"/>
      <w:sz w:val="15"/>
      <w:szCs w:val="15"/>
    </w:rPr>
  </w:style>
  <w:style w:type="character" w:customStyle="1" w:styleId="76">
    <w:name w:val="正文首行缩进 2 Char1"/>
    <w:qFormat/>
    <w:uiPriority w:val="0"/>
    <w:rPr>
      <w:rFonts w:ascii="Times New Roman" w:hAnsi="Times New Roman" w:eastAsia="宋体" w:cs="Times New Roman"/>
    </w:rPr>
  </w:style>
  <w:style w:type="character" w:customStyle="1" w:styleId="77">
    <w:name w:val="列出段落 Char"/>
    <w:link w:val="78"/>
    <w:qFormat/>
    <w:uiPriority w:val="0"/>
    <w:rPr>
      <w:rFonts w:ascii="Calibri" w:hAnsi="Calibri" w:eastAsia="宋体" w:cs="Times New Roman"/>
      <w:kern w:val="2"/>
      <w:sz w:val="21"/>
      <w:szCs w:val="22"/>
      <w:lang w:val="en-US" w:eastAsia="zh-CN" w:bidi="ar-SA"/>
    </w:rPr>
  </w:style>
  <w:style w:type="paragraph" w:customStyle="1" w:styleId="78">
    <w:name w:val="List Paragraph1"/>
    <w:basedOn w:val="1"/>
    <w:link w:val="77"/>
    <w:qFormat/>
    <w:uiPriority w:val="0"/>
    <w:pPr>
      <w:spacing w:line="312" w:lineRule="auto"/>
      <w:ind w:firstLine="420" w:firstLineChars="200"/>
    </w:pPr>
    <w:rPr>
      <w:rFonts w:ascii="Calibri" w:hAnsi="Calibri"/>
      <w:szCs w:val="22"/>
    </w:rPr>
  </w:style>
  <w:style w:type="character" w:customStyle="1" w:styleId="79">
    <w:name w:val="bds_nopic2"/>
    <w:uiPriority w:val="0"/>
    <w:rPr>
      <w:rFonts w:ascii="Times New Roman" w:hAnsi="Times New Roman" w:eastAsia="宋体" w:cs="Times New Roman"/>
    </w:rPr>
  </w:style>
  <w:style w:type="character" w:customStyle="1" w:styleId="80">
    <w:name w:val="font61"/>
    <w:qFormat/>
    <w:uiPriority w:val="0"/>
    <w:rPr>
      <w:rFonts w:hint="default" w:ascii="MS Sans Serif" w:hAnsi="MS Sans Serif" w:eastAsia="MS Sans Serif" w:cs="MS Sans Serif"/>
      <w:color w:val="000000"/>
      <w:sz w:val="18"/>
      <w:szCs w:val="18"/>
      <w:u w:val="none"/>
    </w:rPr>
  </w:style>
  <w:style w:type="character" w:customStyle="1" w:styleId="81">
    <w:name w:val="bds_more1"/>
    <w:qFormat/>
    <w:uiPriority w:val="0"/>
    <w:rPr>
      <w:rFonts w:ascii="Times New Roman" w:hAnsi="Times New Roman" w:eastAsia="宋体" w:cs="Times New Roman"/>
    </w:rPr>
  </w:style>
  <w:style w:type="character" w:customStyle="1" w:styleId="82">
    <w:name w:val="font71"/>
    <w:qFormat/>
    <w:uiPriority w:val="0"/>
    <w:rPr>
      <w:rFonts w:hint="default" w:ascii="MS Sans Serif" w:hAnsi="MS Sans Serif" w:eastAsia="MS Sans Serif" w:cs="MS Sans Serif"/>
      <w:color w:val="000000"/>
      <w:sz w:val="18"/>
      <w:szCs w:val="18"/>
      <w:u w:val="none"/>
    </w:rPr>
  </w:style>
  <w:style w:type="character" w:customStyle="1" w:styleId="83">
    <w:name w:val="first-child"/>
    <w:qFormat/>
    <w:uiPriority w:val="0"/>
    <w:rPr>
      <w:rFonts w:ascii="Times New Roman" w:hAnsi="Times New Roman" w:eastAsia="宋体" w:cs="Times New Roman"/>
    </w:rPr>
  </w:style>
  <w:style w:type="character" w:customStyle="1" w:styleId="84">
    <w:name w:val="bds_nopic1"/>
    <w:qFormat/>
    <w:uiPriority w:val="0"/>
    <w:rPr>
      <w:rFonts w:ascii="Times New Roman" w:hAnsi="Times New Roman" w:eastAsia="宋体" w:cs="Times New Roman"/>
    </w:rPr>
  </w:style>
  <w:style w:type="character" w:customStyle="1" w:styleId="85">
    <w:name w:val="layui-this"/>
    <w:qFormat/>
    <w:uiPriority w:val="0"/>
    <w:rPr>
      <w:rFonts w:ascii="Times New Roman" w:hAnsi="Times New Roman" w:eastAsia="宋体" w:cs="Times New Roman"/>
      <w:bdr w:val="single" w:color="EEEEEE" w:sz="6" w:space="0"/>
      <w:shd w:val="clear" w:color="auto" w:fill="FFFFFF"/>
    </w:rPr>
  </w:style>
  <w:style w:type="character" w:customStyle="1" w:styleId="86">
    <w:name w:val="font81"/>
    <w:qFormat/>
    <w:uiPriority w:val="0"/>
    <w:rPr>
      <w:rFonts w:ascii="Arial Unicode MS" w:hAnsi="Arial Unicode MS" w:eastAsia="Arial Unicode MS" w:cs="Arial Unicode MS"/>
      <w:color w:val="000000"/>
      <w:sz w:val="18"/>
      <w:szCs w:val="18"/>
      <w:u w:val="none"/>
    </w:rPr>
  </w:style>
  <w:style w:type="character" w:customStyle="1" w:styleId="87">
    <w:name w:val="apple-converted-space"/>
    <w:qFormat/>
    <w:uiPriority w:val="0"/>
    <w:rPr>
      <w:rFonts w:ascii="Times New Roman" w:hAnsi="Times New Roman" w:eastAsia="宋体" w:cs="Times New Roman"/>
    </w:rPr>
  </w:style>
  <w:style w:type="character" w:customStyle="1" w:styleId="88">
    <w:name w:val="displayarti"/>
    <w:qFormat/>
    <w:uiPriority w:val="0"/>
    <w:rPr>
      <w:rFonts w:ascii="Times New Roman" w:hAnsi="Times New Roman" w:eastAsia="宋体" w:cs="Times New Roman"/>
      <w:color w:val="FFFFFF"/>
      <w:shd w:val="clear" w:color="auto" w:fill="A00000"/>
    </w:rPr>
  </w:style>
  <w:style w:type="character" w:customStyle="1" w:styleId="89">
    <w:name w:val="font131"/>
    <w:qFormat/>
    <w:uiPriority w:val="0"/>
    <w:rPr>
      <w:rFonts w:hint="eastAsia" w:ascii="宋体" w:hAnsi="宋体" w:eastAsia="宋体" w:cs="宋体"/>
      <w:b/>
      <w:bCs/>
      <w:color w:val="000000"/>
      <w:sz w:val="20"/>
      <w:szCs w:val="20"/>
      <w:u w:val="none"/>
    </w:rPr>
  </w:style>
  <w:style w:type="character" w:customStyle="1" w:styleId="90">
    <w:name w:val="bds_more2"/>
    <w:qFormat/>
    <w:uiPriority w:val="0"/>
    <w:rPr>
      <w:rFonts w:ascii="Times New Roman" w:hAnsi="Times New Roman" w:eastAsia="宋体" w:cs="Times New Roman"/>
    </w:rPr>
  </w:style>
  <w:style w:type="character" w:customStyle="1" w:styleId="91">
    <w:name w:val="bds_more"/>
    <w:qFormat/>
    <w:uiPriority w:val="0"/>
    <w:rPr>
      <w:rFonts w:hint="eastAsia" w:ascii="宋体" w:hAnsi="宋体" w:eastAsia="宋体" w:cs="宋体"/>
    </w:rPr>
  </w:style>
  <w:style w:type="paragraph" w:customStyle="1" w:styleId="92">
    <w:name w:val=" Char Char Char Char"/>
    <w:basedOn w:val="1"/>
    <w:qFormat/>
    <w:uiPriority w:val="0"/>
    <w:rPr>
      <w:rFonts w:ascii="Tahoma" w:hAnsi="Tahoma" w:eastAsia="宋体" w:cs="Times New Roman"/>
      <w:sz w:val="24"/>
      <w:szCs w:val="20"/>
    </w:rPr>
  </w:style>
  <w:style w:type="paragraph" w:customStyle="1" w:styleId="93">
    <w:name w:val="标题4"/>
    <w:basedOn w:val="1"/>
    <w:qFormat/>
    <w:uiPriority w:val="0"/>
    <w:pPr>
      <w:numPr>
        <w:ilvl w:val="0"/>
        <w:numId w:val="5"/>
      </w:numPr>
      <w:spacing w:line="360" w:lineRule="auto"/>
      <w:ind w:left="720" w:leftChars="300"/>
      <w:jc w:val="left"/>
    </w:pPr>
    <w:rPr>
      <w:rFonts w:ascii="宋体" w:hAnsi="宋体" w:eastAsia="宋体" w:cs="Times New Roman"/>
      <w:sz w:val="18"/>
      <w:szCs w:val="18"/>
    </w:rPr>
  </w:style>
  <w:style w:type="paragraph" w:customStyle="1" w:styleId="94">
    <w:name w:val="Table Paragraph"/>
    <w:basedOn w:val="1"/>
    <w:qFormat/>
    <w:uiPriority w:val="0"/>
    <w:rPr>
      <w:rFonts w:ascii="宋体" w:hAnsi="宋体" w:eastAsia="宋体" w:cs="宋体"/>
      <w:lang w:val="zh-CN" w:eastAsia="zh-CN" w:bidi="zh-CN"/>
    </w:rPr>
  </w:style>
  <w:style w:type="paragraph" w:customStyle="1" w:styleId="95">
    <w:name w:val="p0"/>
    <w:basedOn w:val="1"/>
    <w:qFormat/>
    <w:uiPriority w:val="0"/>
    <w:pPr>
      <w:widowControl/>
      <w:spacing w:line="365" w:lineRule="atLeast"/>
      <w:ind w:left="1"/>
      <w:textAlignment w:val="bottom"/>
    </w:pPr>
    <w:rPr>
      <w:rFonts w:ascii="Calibri" w:hAnsi="Calibri" w:eastAsia="宋体" w:cs="Times New Roman"/>
      <w:kern w:val="0"/>
      <w:sz w:val="20"/>
      <w:szCs w:val="22"/>
    </w:rPr>
  </w:style>
  <w:style w:type="paragraph" w:customStyle="1" w:styleId="96">
    <w:name w:val="正文 New"/>
    <w:next w:val="97"/>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97">
    <w:name w:val="正文缩进1"/>
    <w:basedOn w:val="1"/>
    <w:next w:val="16"/>
    <w:qFormat/>
    <w:uiPriority w:val="0"/>
    <w:pPr>
      <w:widowControl w:val="0"/>
      <w:autoSpaceDE/>
      <w:autoSpaceDN/>
      <w:spacing w:before="0" w:beforeLines="0" w:after="0" w:afterLines="0" w:line="360" w:lineRule="atLeast"/>
      <w:ind w:left="0" w:firstLine="482"/>
      <w:jc w:val="both"/>
    </w:pPr>
    <w:rPr>
      <w:rFonts w:ascii="Times New Roman" w:hAnsi="Times New Roman" w:eastAsia="宋体" w:cs="Times New Roman"/>
      <w:sz w:val="24"/>
    </w:rPr>
  </w:style>
  <w:style w:type="paragraph" w:customStyle="1" w:styleId="98">
    <w:name w:val="Char Char Char Char Char Char Char1 Char"/>
    <w:basedOn w:val="1"/>
    <w:qFormat/>
    <w:uiPriority w:val="0"/>
    <w:rPr>
      <w:rFonts w:ascii="Tahoma" w:hAnsi="Tahoma" w:eastAsia="宋体" w:cs="Times New Roman"/>
      <w:sz w:val="24"/>
      <w:szCs w:val="20"/>
    </w:rPr>
  </w:style>
  <w:style w:type="paragraph" w:customStyle="1" w:styleId="99">
    <w:name w:val=" Char"/>
    <w:basedOn w:val="1"/>
    <w:qFormat/>
    <w:uiPriority w:val="0"/>
    <w:rPr>
      <w:rFonts w:ascii="Times New Roman" w:hAnsi="Times New Roman" w:eastAsia="宋体" w:cs="Times New Roman"/>
    </w:rPr>
  </w:style>
  <w:style w:type="paragraph" w:customStyle="1" w:styleId="100">
    <w:name w:val="（无样式）"/>
    <w:basedOn w:val="1"/>
    <w:uiPriority w:val="0"/>
    <w:pPr>
      <w:widowControl/>
      <w:numPr>
        <w:ilvl w:val="0"/>
        <w:numId w:val="6"/>
      </w:numPr>
      <w:spacing w:line="360" w:lineRule="auto"/>
      <w:ind w:firstLine="0"/>
    </w:pPr>
    <w:rPr>
      <w:rFonts w:ascii="Times New Roman" w:hAnsi="Times New Roman" w:eastAsia="宋体" w:cs="Times New Roman"/>
      <w:sz w:val="24"/>
      <w:szCs w:val="20"/>
    </w:rPr>
  </w:style>
  <w:style w:type="paragraph" w:customStyle="1" w:styleId="10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02">
    <w:name w:val="节标题"/>
    <w:basedOn w:val="1"/>
    <w:next w:val="1"/>
    <w:qFormat/>
    <w:uiPriority w:val="0"/>
    <w:pPr>
      <w:widowControl/>
      <w:spacing w:line="289" w:lineRule="atLeast"/>
      <w:jc w:val="center"/>
      <w:textAlignment w:val="baseline"/>
    </w:pPr>
    <w:rPr>
      <w:rFonts w:ascii="Times New Roman" w:hAnsi="Times New Roman" w:eastAsia="宋体" w:cs="Times New Roman"/>
      <w:color w:val="000000"/>
      <w:kern w:val="0"/>
      <w:sz w:val="28"/>
      <w:szCs w:val="20"/>
      <w:u w:val="none" w:color="000000"/>
    </w:rPr>
  </w:style>
  <w:style w:type="paragraph" w:customStyle="1" w:styleId="103">
    <w:name w:val="_Style 102"/>
    <w:uiPriority w:val="0"/>
    <w:rPr>
      <w:rFonts w:ascii="Times New Roman" w:hAnsi="Times New Roman" w:eastAsia="宋体" w:cs="Times New Roman"/>
      <w:kern w:val="2"/>
      <w:sz w:val="21"/>
      <w:szCs w:val="24"/>
      <w:lang w:val="en-US" w:eastAsia="zh-CN" w:bidi="ar-SA"/>
    </w:rPr>
  </w:style>
  <w:style w:type="paragraph" w:customStyle="1" w:styleId="104">
    <w:name w:val="Char"/>
    <w:basedOn w:val="1"/>
    <w:next w:val="1"/>
    <w:qFormat/>
    <w:uiPriority w:val="0"/>
    <w:pPr>
      <w:widowControl/>
      <w:spacing w:line="360" w:lineRule="auto"/>
      <w:jc w:val="left"/>
    </w:pPr>
    <w:rPr>
      <w:rFonts w:ascii="Times New Roman" w:hAnsi="Times New Roman" w:eastAsia="宋体" w:cs="Times New Roman"/>
      <w:kern w:val="0"/>
      <w:szCs w:val="20"/>
      <w:lang w:eastAsia="en-US"/>
    </w:rPr>
  </w:style>
  <w:style w:type="paragraph" w:customStyle="1" w:styleId="105">
    <w:name w:val="_Style 2"/>
    <w:basedOn w:val="1"/>
    <w:qFormat/>
    <w:uiPriority w:val="0"/>
    <w:rPr>
      <w:rFonts w:ascii="Times New Roman" w:hAnsi="Times New Roman" w:eastAsia="宋体" w:cs="Times New Roman"/>
    </w:rPr>
  </w:style>
  <w:style w:type="paragraph" w:customStyle="1" w:styleId="106">
    <w:name w:val="列出段落2"/>
    <w:basedOn w:val="1"/>
    <w:uiPriority w:val="0"/>
    <w:pPr>
      <w:ind w:firstLine="420" w:firstLineChars="200"/>
    </w:pPr>
    <w:rPr>
      <w:rFonts w:ascii="Calibri" w:hAnsi="Calibri" w:eastAsia="宋体" w:cs="Times New Roman"/>
      <w:szCs w:val="22"/>
    </w:rPr>
  </w:style>
  <w:style w:type="paragraph" w:customStyle="1" w:styleId="107">
    <w:name w:val="*正文"/>
    <w:basedOn w:val="1"/>
    <w:qFormat/>
    <w:uiPriority w:val="0"/>
    <w:pPr>
      <w:widowControl/>
      <w:snapToGrid w:val="0"/>
      <w:ind w:firstLine="560"/>
      <w:jc w:val="left"/>
    </w:pPr>
    <w:rPr>
      <w:rFonts w:ascii="仿宋_GB2312" w:hAnsi="Times New Roman" w:eastAsia="宋体" w:cs="Times New Roman"/>
      <w:color w:val="191919"/>
      <w:sz w:val="28"/>
      <w:szCs w:val="28"/>
    </w:rPr>
  </w:style>
  <w:style w:type="paragraph" w:customStyle="1" w:styleId="108">
    <w:name w:val="列出段落1"/>
    <w:basedOn w:val="1"/>
    <w:qFormat/>
    <w:uiPriority w:val="0"/>
    <w:pPr>
      <w:ind w:firstLine="420" w:firstLineChars="200"/>
    </w:pPr>
    <w:rPr>
      <w:rFonts w:ascii="Times New Roman" w:hAnsi="Times New Roman" w:eastAsia="宋体" w:cs="Times New Roman"/>
    </w:rPr>
  </w:style>
  <w:style w:type="paragraph" w:customStyle="1" w:styleId="109">
    <w:name w:val="HtmlNormal"/>
    <w:basedOn w:val="1"/>
    <w:qFormat/>
    <w:uiPriority w:val="0"/>
    <w:pPr>
      <w:widowControl/>
      <w:spacing w:before="100" w:beforeLines="0" w:beforeAutospacing="1" w:after="100" w:afterLines="0" w:afterAutospacing="1"/>
      <w:jc w:val="left"/>
    </w:pPr>
    <w:rPr>
      <w:rFonts w:ascii="宋体" w:hAnsi="宋体" w:eastAsia="宋体" w:cs="Times New Roman"/>
      <w:kern w:val="0"/>
      <w:sz w:val="24"/>
    </w:rPr>
  </w:style>
  <w:style w:type="paragraph" w:styleId="110">
    <w:name w:val="List Paragraph"/>
    <w:basedOn w:val="1"/>
    <w:qFormat/>
    <w:uiPriority w:val="0"/>
    <w:pPr>
      <w:spacing w:line="360" w:lineRule="auto"/>
      <w:ind w:firstLine="420" w:firstLineChars="200"/>
    </w:pPr>
    <w:rPr>
      <w:rFonts w:ascii="宋体" w:hAnsi="宋体" w:eastAsia="宋体" w:cs="宋体"/>
      <w:sz w:val="24"/>
    </w:rPr>
  </w:style>
  <w:style w:type="paragraph" w:customStyle="1" w:styleId="111">
    <w:name w:val="列出段落11"/>
    <w:basedOn w:val="1"/>
    <w:qFormat/>
    <w:uiPriority w:val="0"/>
    <w:pPr>
      <w:spacing w:after="120" w:afterLines="0" w:line="360" w:lineRule="auto"/>
      <w:ind w:firstLine="420" w:firstLineChars="200"/>
    </w:pPr>
    <w:rPr>
      <w:rFonts w:ascii="Calibri" w:hAnsi="Calibri" w:eastAsia="宋体" w:cs="Times New Roman"/>
      <w:szCs w:val="22"/>
    </w:rPr>
  </w:style>
  <w:style w:type="paragraph" w:customStyle="1" w:styleId="112">
    <w:name w:val="_Style 4"/>
    <w:basedOn w:val="1"/>
    <w:qFormat/>
    <w:uiPriority w:val="0"/>
    <w:pPr>
      <w:adjustRightInd w:val="0"/>
      <w:ind w:firstLine="420" w:firstLineChars="200"/>
      <w:jc w:val="left"/>
      <w:textAlignment w:val="baseline"/>
    </w:pPr>
    <w:rPr>
      <w:rFonts w:ascii="Times New Roman" w:hAnsi="Times New Roman" w:eastAsia="宋体" w:cs="Times New Roman"/>
      <w:kern w:val="0"/>
      <w:szCs w:val="20"/>
    </w:rPr>
  </w:style>
  <w:style w:type="paragraph" w:customStyle="1" w:styleId="113">
    <w:name w:val="List Paragraph2"/>
    <w:basedOn w:val="1"/>
    <w:qFormat/>
    <w:uiPriority w:val="0"/>
    <w:pPr>
      <w:spacing w:line="360" w:lineRule="auto"/>
      <w:ind w:firstLine="420"/>
    </w:pPr>
    <w:rPr>
      <w:rFonts w:ascii="Times New Roman" w:hAnsi="Times New Roman" w:eastAsia="宋体" w:cs="Times New Roman"/>
      <w:color w:val="000000"/>
      <w:sz w:val="24"/>
      <w:szCs w:val="21"/>
    </w:rPr>
  </w:style>
  <w:style w:type="paragraph" w:customStyle="1" w:styleId="114">
    <w:name w:val="正文文字 8"/>
    <w:basedOn w:val="1"/>
    <w:next w:val="1"/>
    <w:qFormat/>
    <w:uiPriority w:val="0"/>
    <w:pPr>
      <w:ind w:left="240"/>
    </w:pPr>
    <w:rPr>
      <w:sz w:val="16"/>
    </w:rPr>
  </w:style>
  <w:style w:type="paragraph" w:customStyle="1" w:styleId="115">
    <w:name w:val="样式1"/>
    <w:basedOn w:val="1"/>
    <w:qFormat/>
    <w:uiPriority w:val="0"/>
    <w:pPr>
      <w:spacing w:line="360" w:lineRule="auto"/>
      <w:jc w:val="center"/>
    </w:pPr>
    <w:rPr>
      <w:rFonts w:ascii="Times New Roman" w:hAnsi="Times New Roman" w:eastAsia="宋体" w:cs="Times New Roman"/>
      <w:b/>
      <w:sz w:val="30"/>
      <w:szCs w:val="30"/>
    </w:rPr>
  </w:style>
  <w:style w:type="paragraph" w:customStyle="1" w:styleId="116">
    <w:name w:val="列表2"/>
    <w:basedOn w:val="1"/>
    <w:next w:val="1"/>
    <w:qFormat/>
    <w:uiPriority w:val="0"/>
    <w:pPr>
      <w:numPr>
        <w:ilvl w:val="0"/>
        <w:numId w:val="7"/>
      </w:numPr>
      <w:spacing w:line="200" w:lineRule="atLeast"/>
    </w:pPr>
    <w:rPr>
      <w:rFonts w:ascii="Times New Roman" w:hAnsi="Times New Roman" w:eastAsia="仿宋" w:cs="Times New Roman"/>
      <w:sz w:val="28"/>
    </w:rPr>
  </w:style>
  <w:style w:type="paragraph" w:customStyle="1" w:styleId="117">
    <w:name w:val="标题3-副本"/>
    <w:basedOn w:val="27"/>
    <w:qFormat/>
    <w:uiPriority w:val="0"/>
    <w:pPr>
      <w:numPr>
        <w:ilvl w:val="0"/>
        <w:numId w:val="0"/>
      </w:numPr>
      <w:ind w:left="840"/>
    </w:pPr>
    <w:rPr>
      <w:rFonts w:ascii="Times New Roman" w:hAnsi="Times New Roman" w:eastAsia="宋体" w:cs="Times New Roman"/>
    </w:rPr>
  </w:style>
  <w:style w:type="paragraph" w:customStyle="1" w:styleId="118">
    <w:name w:val="_Style 117"/>
    <w:basedOn w:val="1"/>
    <w:next w:val="1"/>
    <w:uiPriority w:val="0"/>
    <w:pPr>
      <w:pBdr>
        <w:bottom w:val="single" w:color="auto" w:sz="6" w:space="1"/>
      </w:pBdr>
      <w:jc w:val="center"/>
    </w:pPr>
    <w:rPr>
      <w:rFonts w:ascii="Arial" w:eastAsia="宋体"/>
      <w:vanish/>
      <w:sz w:val="16"/>
    </w:rPr>
  </w:style>
  <w:style w:type="paragraph" w:customStyle="1" w:styleId="119">
    <w:name w:val="_Style 118"/>
    <w:basedOn w:val="1"/>
    <w:next w:val="1"/>
    <w:qFormat/>
    <w:uiPriority w:val="0"/>
    <w:pPr>
      <w:pBdr>
        <w:top w:val="single" w:color="auto" w:sz="6" w:space="1"/>
      </w:pBdr>
      <w:jc w:val="center"/>
    </w:pPr>
    <w:rPr>
      <w:rFonts w:ascii="Arial" w:eastAsia="宋体"/>
      <w:vanish/>
      <w:sz w:val="16"/>
    </w:rPr>
  </w:style>
  <w:style w:type="paragraph" w:customStyle="1" w:styleId="120">
    <w:name w:val="无间隔1"/>
    <w:basedOn w:val="1"/>
    <w:qFormat/>
    <w:uiPriority w:val="0"/>
    <w:pPr>
      <w:widowControl/>
      <w:adjustRightInd w:val="0"/>
      <w:snapToGrid w:val="0"/>
      <w:jc w:val="left"/>
    </w:pPr>
    <w:rPr>
      <w:rFonts w:ascii="Tahoma" w:hAnsi="Tahoma" w:eastAsia="微软雅黑" w:cs="Times New Roman"/>
      <w:kern w:val="0"/>
      <w:sz w:val="24"/>
      <w:szCs w:val="22"/>
    </w:rPr>
  </w:style>
  <w:style w:type="paragraph" w:customStyle="1" w:styleId="121">
    <w:name w:val="text-tag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22">
    <w:name w:val="font11"/>
    <w:qFormat/>
    <w:uiPriority w:val="0"/>
    <w:rPr>
      <w:rFonts w:hint="eastAsia" w:ascii="宋体" w:hAnsi="宋体" w:eastAsia="宋体" w:cs="宋体"/>
      <w:color w:val="000000"/>
      <w:sz w:val="16"/>
      <w:szCs w:val="16"/>
      <w:u w:val="none"/>
    </w:rPr>
  </w:style>
  <w:style w:type="character" w:customStyle="1" w:styleId="123">
    <w:name w:val="font31"/>
    <w:qFormat/>
    <w:uiPriority w:val="0"/>
    <w:rPr>
      <w:rFonts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12373</Words>
  <Characters>13412</Characters>
  <Lines>414</Lines>
  <Paragraphs>116</Paragraphs>
  <TotalTime>28</TotalTime>
  <ScaleCrop>false</ScaleCrop>
  <LinksUpToDate>false</LinksUpToDate>
  <CharactersWithSpaces>13485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2022-04-22T03:46:00Z</dcterms:created>
  <dc:creator>陈倩倩</dc:creator>
  <cp:lastModifiedBy>樂</cp:lastModifiedBy>
  <cp:lastPrinted>2024-07-01T07:31:00Z</cp:lastPrinted>
  <dcterms:modified xsi:type="dcterms:W3CDTF">2026-08-13T09:14:48Z</dcterms:modified>
  <dc:title>滁州市人力资源和社会保障信息中心信息网络设备采购及安装项目</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E0753ABFE8C140E1BB49FEA97CA67BA8_13</vt:lpwstr>
  </property>
  <property fmtid="{D5CDD505-2E9C-101B-9397-08002B2CF9AE}" pid="4" name="KSOTemplateDocerSaveRecord">
    <vt:lpwstr>eyJoZGlkIjoiNjJiMzFkOTRkY2JlNTQ1MjVlZGQ1ZTczZWRjZWI4ODAiLCJ1c2VySWQiOiI0NTM3NDMxMTgifQ==</vt:lpwstr>
  </property>
</Properties>
</file>