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8F092">
      <w:pPr>
        <w:jc w:val="center"/>
        <w:rPr>
          <w:rFonts w:asciiTheme="minorEastAsia" w:hAnsiTheme="minorEastAsia"/>
          <w:bCs/>
          <w:color w:val="000000"/>
          <w:sz w:val="36"/>
          <w:szCs w:val="36"/>
        </w:rPr>
      </w:pPr>
      <w:r>
        <w:rPr>
          <w:rFonts w:hint="eastAsia" w:asciiTheme="minorEastAsia" w:hAnsiTheme="minorEastAsia"/>
          <w:bCs/>
          <w:color w:val="000000"/>
          <w:sz w:val="36"/>
          <w:szCs w:val="36"/>
        </w:rPr>
        <w:t>S20长丰至固始高速公路霍邱至皖豫界段02标项目涉路S245标识标牌导改工程施工标段1招标的澄清补遗</w:t>
      </w:r>
    </w:p>
    <w:p w14:paraId="39E95E14">
      <w:pPr>
        <w:pStyle w:val="13"/>
        <w:shd w:val="clear" w:color="auto" w:fill="auto"/>
        <w:tabs>
          <w:tab w:val="left" w:pos="590"/>
        </w:tabs>
        <w:spacing w:line="540" w:lineRule="exact"/>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一、项目名称：S20长丰至固始高速公路霍邱至皖豫界段02标项目涉路S245标识标牌导改工程施工标段1招标</w:t>
      </w:r>
    </w:p>
    <w:p w14:paraId="57E1446D">
      <w:pPr>
        <w:pStyle w:val="13"/>
        <w:shd w:val="clear" w:color="auto" w:fill="auto"/>
        <w:tabs>
          <w:tab w:val="left" w:pos="590"/>
        </w:tabs>
        <w:spacing w:line="540" w:lineRule="exact"/>
        <w:ind w:firstLine="600" w:firstLineChars="20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二、文件编号：ACEG-202607986001001</w:t>
      </w:r>
    </w:p>
    <w:p w14:paraId="0FC9BA80">
      <w:pPr>
        <w:pStyle w:val="13"/>
        <w:shd w:val="clear" w:color="auto" w:fill="auto"/>
        <w:tabs>
          <w:tab w:val="left" w:pos="590"/>
        </w:tabs>
        <w:spacing w:line="540" w:lineRule="exact"/>
        <w:ind w:firstLine="600"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三、招标人：安徽建工建设投资集团有限公司</w:t>
      </w:r>
    </w:p>
    <w:p w14:paraId="292CBF26">
      <w:pPr>
        <w:pStyle w:val="13"/>
        <w:shd w:val="clear" w:color="auto" w:fill="auto"/>
        <w:tabs>
          <w:tab w:val="left" w:pos="590"/>
        </w:tabs>
        <w:spacing w:line="540" w:lineRule="exact"/>
        <w:ind w:firstLine="600"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四、招标内容：涉路S245标识标牌导改工程</w:t>
      </w:r>
    </w:p>
    <w:p w14:paraId="6C205B5E">
      <w:pPr>
        <w:pStyle w:val="13"/>
        <w:shd w:val="clear" w:color="auto" w:fill="auto"/>
        <w:tabs>
          <w:tab w:val="left" w:pos="590"/>
        </w:tabs>
        <w:spacing w:line="540" w:lineRule="exact"/>
        <w:ind w:firstLine="600"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五、招标方式：公开招标</w:t>
      </w:r>
    </w:p>
    <w:p w14:paraId="657B3B07">
      <w:pPr>
        <w:pStyle w:val="13"/>
        <w:shd w:val="clear" w:color="auto" w:fill="auto"/>
        <w:tabs>
          <w:tab w:val="left" w:pos="590"/>
        </w:tabs>
        <w:spacing w:line="540" w:lineRule="exact"/>
        <w:ind w:firstLine="600"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澄清内容：现对本项目招标文件中涉路S245标识标牌导改工程施工技术要求作出如下补充说明，请各投标人遵照执行：</w:t>
      </w:r>
    </w:p>
    <w:p w14:paraId="73DEAA79">
      <w:pPr>
        <w:pStyle w:val="2"/>
        <w:numPr>
          <w:ilvl w:val="1"/>
          <w:numId w:val="2"/>
        </w:numPr>
        <w:shd w:val="clear" w:fill="FFFFFF" w:themeFill="background1"/>
        <w:bidi w:val="0"/>
        <w:rPr>
          <w:rFonts w:hint="default" w:ascii="Times New Roman" w:hAnsi="Times New Roman" w:eastAsia="宋体" w:cs="Times New Roman"/>
          <w:color w:val="auto"/>
          <w:highlight w:val="none"/>
        </w:rPr>
      </w:pPr>
      <w:bookmarkStart w:id="0" w:name="_Toc30547"/>
      <w:r>
        <w:rPr>
          <w:rFonts w:hint="default" w:ascii="Times New Roman" w:hAnsi="Times New Roman" w:eastAsia="宋体" w:cs="Times New Roman"/>
          <w:color w:val="auto"/>
          <w:highlight w:val="none"/>
        </w:rPr>
        <w:t>交通标志设置要求</w:t>
      </w:r>
      <w:bookmarkEnd w:id="0"/>
    </w:p>
    <w:p w14:paraId="07149A26">
      <w:pPr>
        <w:shd w:val="clear" w:fill="FFFFFF" w:themeFill="background1"/>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警告标志、禁令标志、指示标志、作业区标志：规格符合《道路交通标志和标线第4部分：作业区》（GB5768.4-2017）要求。用于涉路施工过程中进行预警和指示，施工区标志根据规范及实际需要，按组进行设置，重复使用。</w:t>
      </w:r>
    </w:p>
    <w:p w14:paraId="43FB19F4">
      <w:pPr>
        <w:shd w:val="clear" w:fill="FFFFFF" w:themeFill="background1"/>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由于道路作业而设置的临时警告和指路标志，底色为橙色或荧光橙色；临时指示和禁令标志，底色不变。照明条件不好、能见度差的作业区，临时警告和指路标志底色宜采用荧光橙色。作业区临时标志均可采用主动发光标志。</w:t>
      </w:r>
    </w:p>
    <w:p w14:paraId="129714E6">
      <w:pPr>
        <w:shd w:val="clear" w:fill="FFFFFF" w:themeFill="background1"/>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（2）作业区交通标志宜采用GB/T18833-2012中</w:t>
      </w:r>
      <w:r>
        <w:rPr>
          <w:rFonts w:hint="eastAsia" w:cs="Times New Roman"/>
          <w:color w:val="auto"/>
          <w:highlight w:val="none"/>
          <w:lang w:val="en-US" w:eastAsia="zh-CN"/>
        </w:rPr>
        <w:t>Ⅲ</w:t>
      </w:r>
      <w:r>
        <w:rPr>
          <w:rFonts w:hint="default" w:ascii="Times New Roman" w:hAnsi="Times New Roman" w:eastAsia="宋体" w:cs="Times New Roman"/>
          <w:color w:val="auto"/>
          <w:highlight w:val="none"/>
        </w:rPr>
        <w:t>类反光膜。</w:t>
      </w:r>
    </w:p>
    <w:p w14:paraId="70CB88A4">
      <w:pPr>
        <w:shd w:val="clear" w:fill="FFFFFF" w:themeFill="background1"/>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（3）设置于警告区的标志尺寸根据该路段的设计速度确定，设置于作业区其他位置的标志尺寸根据作业区的限制速度确定。</w:t>
      </w:r>
    </w:p>
    <w:p w14:paraId="04ABFD3B">
      <w:pPr>
        <w:shd w:val="clear" w:fill="FFFFFF" w:themeFill="background1"/>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（4）作业区交通标志应易于搬动和运输、能简单快速地安装和拆除，安装后结构稳定。</w:t>
      </w:r>
    </w:p>
    <w:p w14:paraId="214B7732">
      <w:pPr>
        <w:pStyle w:val="3"/>
        <w:shd w:val="clear" w:fill="FFFFFF" w:themeFill="background1"/>
        <w:bidi w:val="0"/>
        <w:rPr>
          <w:rFonts w:hint="default" w:ascii="Times New Roman" w:hAnsi="Times New Roman" w:eastAsia="宋体" w:cs="Times New Roman"/>
          <w:b/>
          <w:bCs/>
          <w:color w:val="auto"/>
          <w:kern w:val="2"/>
          <w:sz w:val="24"/>
          <w:szCs w:val="24"/>
          <w:highlight w:val="none"/>
          <w:u w:val="double"/>
          <w:lang w:val="en-US" w:eastAsia="zh-CN" w:bidi="ar-SA"/>
        </w:rPr>
      </w:pPr>
      <w:r>
        <w:rPr>
          <w:rFonts w:hint="default" w:ascii="Times New Roman" w:hAnsi="Times New Roman" w:eastAsia="宋体" w:cs="Times New Roman"/>
          <w:b/>
          <w:bCs/>
          <w:color w:val="auto"/>
          <w:kern w:val="2"/>
          <w:sz w:val="24"/>
          <w:szCs w:val="24"/>
          <w:highlight w:val="none"/>
          <w:u w:val="double"/>
          <w:lang w:val="en-US" w:eastAsia="zh-CN" w:bidi="ar-SA"/>
        </w:rPr>
        <w:t>禁令标志尺寸与速度的关系</w:t>
      </w:r>
    </w:p>
    <w:tbl>
      <w:tblPr>
        <w:tblStyle w:val="6"/>
        <w:tblW w:w="5000" w:type="pct"/>
        <w:jc w:val="center"/>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21"/>
        <w:gridCol w:w="1759"/>
        <w:gridCol w:w="1221"/>
        <w:gridCol w:w="1211"/>
        <w:gridCol w:w="1211"/>
        <w:gridCol w:w="1199"/>
      </w:tblGrid>
      <w:tr w14:paraId="781D33C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2159" w:type="pct"/>
            <w:gridSpan w:val="2"/>
            <w:tcBorders>
              <w:tl2br w:val="nil"/>
              <w:tr2bl w:val="nil"/>
            </w:tcBorders>
            <w:vAlign w:val="center"/>
          </w:tcPr>
          <w:p w14:paraId="7977FC60">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速度（km/h）</w:t>
            </w:r>
          </w:p>
        </w:tc>
        <w:tc>
          <w:tcPr>
            <w:tcW w:w="716" w:type="pct"/>
            <w:tcBorders>
              <w:tl2br w:val="nil"/>
              <w:tr2bl w:val="nil"/>
            </w:tcBorders>
            <w:vAlign w:val="center"/>
          </w:tcPr>
          <w:p w14:paraId="09ACEB8A">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120～100</w:t>
            </w:r>
          </w:p>
        </w:tc>
        <w:tc>
          <w:tcPr>
            <w:tcW w:w="710" w:type="pct"/>
            <w:tcBorders>
              <w:tl2br w:val="nil"/>
              <w:tr2bl w:val="nil"/>
            </w:tcBorders>
            <w:vAlign w:val="center"/>
          </w:tcPr>
          <w:p w14:paraId="4FA26734">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99～71</w:t>
            </w:r>
          </w:p>
        </w:tc>
        <w:tc>
          <w:tcPr>
            <w:tcW w:w="710" w:type="pct"/>
            <w:tcBorders>
              <w:tl2br w:val="nil"/>
              <w:tr2bl w:val="nil"/>
            </w:tcBorders>
            <w:vAlign w:val="center"/>
          </w:tcPr>
          <w:p w14:paraId="42F39383">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70</w:t>
            </w:r>
            <w:r>
              <w:rPr>
                <w:rFonts w:hint="default" w:ascii="Times New Roman" w:hAnsi="Times New Roman" w:eastAsia="宋体" w:cs="Times New Roman"/>
                <w:color w:val="auto"/>
                <w:sz w:val="21"/>
                <w:szCs w:val="21"/>
                <w:highlight w:val="none"/>
              </w:rPr>
              <w:t>～40</w:t>
            </w:r>
          </w:p>
        </w:tc>
        <w:tc>
          <w:tcPr>
            <w:tcW w:w="703" w:type="pct"/>
            <w:tcBorders>
              <w:tl2br w:val="nil"/>
              <w:tr2bl w:val="nil"/>
            </w:tcBorders>
            <w:vAlign w:val="center"/>
          </w:tcPr>
          <w:p w14:paraId="263F2396">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&lt;40</w:t>
            </w:r>
          </w:p>
        </w:tc>
      </w:tr>
      <w:tr w14:paraId="0D34E49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127" w:type="pct"/>
            <w:vMerge w:val="restart"/>
            <w:tcBorders>
              <w:tl2br w:val="nil"/>
              <w:tr2bl w:val="nil"/>
            </w:tcBorders>
            <w:vAlign w:val="center"/>
          </w:tcPr>
          <w:p w14:paraId="70C07651">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圆形标志</w:t>
            </w:r>
          </w:p>
        </w:tc>
        <w:tc>
          <w:tcPr>
            <w:tcW w:w="1032" w:type="pct"/>
            <w:tcBorders>
              <w:tl2br w:val="nil"/>
              <w:tr2bl w:val="nil"/>
            </w:tcBorders>
            <w:vAlign w:val="center"/>
          </w:tcPr>
          <w:p w14:paraId="1CF1E771">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标志外径（cm）</w:t>
            </w:r>
          </w:p>
        </w:tc>
        <w:tc>
          <w:tcPr>
            <w:tcW w:w="716" w:type="pct"/>
            <w:tcBorders>
              <w:tl2br w:val="nil"/>
              <w:tr2bl w:val="nil"/>
            </w:tcBorders>
            <w:vAlign w:val="center"/>
          </w:tcPr>
          <w:p w14:paraId="0A1BA990">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120</w:t>
            </w:r>
          </w:p>
        </w:tc>
        <w:tc>
          <w:tcPr>
            <w:tcW w:w="710" w:type="pct"/>
            <w:tcBorders>
              <w:tl2br w:val="nil"/>
              <w:tr2bl w:val="nil"/>
            </w:tcBorders>
            <w:vAlign w:val="center"/>
          </w:tcPr>
          <w:p w14:paraId="772ADC5C">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w:t>
            </w:r>
          </w:p>
        </w:tc>
        <w:tc>
          <w:tcPr>
            <w:tcW w:w="710" w:type="pct"/>
            <w:tcBorders>
              <w:tl2br w:val="nil"/>
              <w:tr2bl w:val="nil"/>
            </w:tcBorders>
            <w:vAlign w:val="center"/>
          </w:tcPr>
          <w:p w14:paraId="2B8236CB">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80</w:t>
            </w:r>
          </w:p>
        </w:tc>
        <w:tc>
          <w:tcPr>
            <w:tcW w:w="703" w:type="pct"/>
            <w:tcBorders>
              <w:tl2br w:val="nil"/>
              <w:tr2bl w:val="nil"/>
            </w:tcBorders>
            <w:vAlign w:val="center"/>
          </w:tcPr>
          <w:p w14:paraId="1BBFF3B9">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r>
      <w:tr w14:paraId="76C9291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127" w:type="pct"/>
            <w:vMerge w:val="continue"/>
            <w:tcBorders>
              <w:tl2br w:val="nil"/>
              <w:tr2bl w:val="nil"/>
            </w:tcBorders>
            <w:vAlign w:val="center"/>
          </w:tcPr>
          <w:p w14:paraId="60126E53">
            <w:pPr>
              <w:pStyle w:val="14"/>
              <w:shd w:val="clear" w:fill="FFFFFF" w:themeFill="background1"/>
              <w:bidi w:val="0"/>
              <w:rPr>
                <w:rFonts w:hint="default" w:ascii="Times New Roman" w:hAnsi="Times New Roman" w:eastAsia="宋体" w:cs="Times New Roman"/>
                <w:color w:val="auto"/>
                <w:sz w:val="21"/>
                <w:szCs w:val="21"/>
                <w:highlight w:val="none"/>
              </w:rPr>
            </w:pPr>
          </w:p>
        </w:tc>
        <w:tc>
          <w:tcPr>
            <w:tcW w:w="1032" w:type="pct"/>
            <w:tcBorders>
              <w:tl2br w:val="nil"/>
              <w:tr2bl w:val="nil"/>
            </w:tcBorders>
            <w:vAlign w:val="center"/>
          </w:tcPr>
          <w:p w14:paraId="18713D70">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红边宽度（cm）</w:t>
            </w:r>
          </w:p>
        </w:tc>
        <w:tc>
          <w:tcPr>
            <w:tcW w:w="716" w:type="pct"/>
            <w:tcBorders>
              <w:tl2br w:val="nil"/>
              <w:tr2bl w:val="nil"/>
            </w:tcBorders>
            <w:vAlign w:val="center"/>
          </w:tcPr>
          <w:p w14:paraId="2D380463">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710" w:type="pct"/>
            <w:tcBorders>
              <w:tl2br w:val="nil"/>
              <w:tr2bl w:val="nil"/>
            </w:tcBorders>
            <w:vAlign w:val="center"/>
          </w:tcPr>
          <w:p w14:paraId="3BDB14D0">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p>
        </w:tc>
        <w:tc>
          <w:tcPr>
            <w:tcW w:w="710" w:type="pct"/>
            <w:tcBorders>
              <w:tl2br w:val="nil"/>
              <w:tr2bl w:val="nil"/>
            </w:tcBorders>
            <w:vAlign w:val="center"/>
          </w:tcPr>
          <w:p w14:paraId="55FC4120">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w:t>
            </w:r>
          </w:p>
        </w:tc>
        <w:tc>
          <w:tcPr>
            <w:tcW w:w="703" w:type="pct"/>
            <w:tcBorders>
              <w:tl2br w:val="nil"/>
              <w:tr2bl w:val="nil"/>
            </w:tcBorders>
            <w:vAlign w:val="center"/>
          </w:tcPr>
          <w:p w14:paraId="3AB24F4A">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w:t>
            </w:r>
          </w:p>
        </w:tc>
      </w:tr>
      <w:tr w14:paraId="6135E5A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127" w:type="pct"/>
            <w:vMerge w:val="continue"/>
            <w:tcBorders>
              <w:tl2br w:val="nil"/>
              <w:tr2bl w:val="nil"/>
            </w:tcBorders>
            <w:vAlign w:val="center"/>
          </w:tcPr>
          <w:p w14:paraId="0730CECD">
            <w:pPr>
              <w:pStyle w:val="14"/>
              <w:shd w:val="clear" w:fill="FFFFFF" w:themeFill="background1"/>
              <w:bidi w:val="0"/>
              <w:rPr>
                <w:rFonts w:hint="default" w:ascii="Times New Roman" w:hAnsi="Times New Roman" w:eastAsia="宋体" w:cs="Times New Roman"/>
                <w:color w:val="auto"/>
                <w:sz w:val="21"/>
                <w:szCs w:val="21"/>
                <w:highlight w:val="none"/>
              </w:rPr>
            </w:pPr>
          </w:p>
        </w:tc>
        <w:tc>
          <w:tcPr>
            <w:tcW w:w="1032" w:type="pct"/>
            <w:tcBorders>
              <w:tl2br w:val="nil"/>
              <w:tr2bl w:val="nil"/>
            </w:tcBorders>
            <w:vAlign w:val="center"/>
          </w:tcPr>
          <w:p w14:paraId="52DD9F41">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红杠宽度（cm）</w:t>
            </w:r>
          </w:p>
        </w:tc>
        <w:tc>
          <w:tcPr>
            <w:tcW w:w="716" w:type="pct"/>
            <w:tcBorders>
              <w:tl2br w:val="nil"/>
              <w:tr2bl w:val="nil"/>
            </w:tcBorders>
            <w:vAlign w:val="center"/>
          </w:tcPr>
          <w:p w14:paraId="19F5C10D">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w:t>
            </w:r>
          </w:p>
        </w:tc>
        <w:tc>
          <w:tcPr>
            <w:tcW w:w="710" w:type="pct"/>
            <w:tcBorders>
              <w:tl2br w:val="nil"/>
              <w:tr2bl w:val="nil"/>
            </w:tcBorders>
            <w:vAlign w:val="center"/>
          </w:tcPr>
          <w:p w14:paraId="5545EE34">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7.5</w:t>
            </w:r>
          </w:p>
        </w:tc>
        <w:tc>
          <w:tcPr>
            <w:tcW w:w="710" w:type="pct"/>
            <w:tcBorders>
              <w:tl2br w:val="nil"/>
              <w:tr2bl w:val="nil"/>
            </w:tcBorders>
            <w:vAlign w:val="center"/>
          </w:tcPr>
          <w:p w14:paraId="04AEAC39">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w:t>
            </w:r>
          </w:p>
        </w:tc>
        <w:tc>
          <w:tcPr>
            <w:tcW w:w="703" w:type="pct"/>
            <w:tcBorders>
              <w:tl2br w:val="nil"/>
              <w:tr2bl w:val="nil"/>
            </w:tcBorders>
            <w:vAlign w:val="center"/>
          </w:tcPr>
          <w:p w14:paraId="43600772">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w:t>
            </w:r>
          </w:p>
        </w:tc>
      </w:tr>
      <w:tr w14:paraId="2B2DAF1E">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127" w:type="pct"/>
            <w:vMerge w:val="continue"/>
            <w:tcBorders>
              <w:tl2br w:val="nil"/>
              <w:tr2bl w:val="nil"/>
            </w:tcBorders>
            <w:vAlign w:val="center"/>
          </w:tcPr>
          <w:p w14:paraId="1066ED88">
            <w:pPr>
              <w:pStyle w:val="14"/>
              <w:shd w:val="clear" w:fill="FFFFFF" w:themeFill="background1"/>
              <w:bidi w:val="0"/>
              <w:rPr>
                <w:rFonts w:hint="default" w:ascii="Times New Roman" w:hAnsi="Times New Roman" w:eastAsia="宋体" w:cs="Times New Roman"/>
                <w:color w:val="auto"/>
                <w:sz w:val="21"/>
                <w:szCs w:val="21"/>
                <w:highlight w:val="none"/>
              </w:rPr>
            </w:pPr>
          </w:p>
        </w:tc>
        <w:tc>
          <w:tcPr>
            <w:tcW w:w="1032" w:type="pct"/>
            <w:tcBorders>
              <w:tl2br w:val="nil"/>
              <w:tr2bl w:val="nil"/>
            </w:tcBorders>
            <w:vAlign w:val="center"/>
          </w:tcPr>
          <w:p w14:paraId="2B741AFC">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衬边宽度（cm）</w:t>
            </w:r>
          </w:p>
        </w:tc>
        <w:tc>
          <w:tcPr>
            <w:tcW w:w="716" w:type="pct"/>
            <w:tcBorders>
              <w:tl2br w:val="nil"/>
              <w:tr2bl w:val="nil"/>
            </w:tcBorders>
            <w:vAlign w:val="center"/>
          </w:tcPr>
          <w:p w14:paraId="1D59CD7B">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p>
        </w:tc>
        <w:tc>
          <w:tcPr>
            <w:tcW w:w="710" w:type="pct"/>
            <w:tcBorders>
              <w:tl2br w:val="nil"/>
              <w:tr2bl w:val="nil"/>
            </w:tcBorders>
            <w:vAlign w:val="center"/>
          </w:tcPr>
          <w:p w14:paraId="4867EEF4">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0.8</w:t>
            </w:r>
          </w:p>
        </w:tc>
        <w:tc>
          <w:tcPr>
            <w:tcW w:w="710" w:type="pct"/>
            <w:tcBorders>
              <w:tl2br w:val="nil"/>
              <w:tr2bl w:val="nil"/>
            </w:tcBorders>
            <w:vAlign w:val="center"/>
          </w:tcPr>
          <w:p w14:paraId="21D554AB">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0.6</w:t>
            </w:r>
          </w:p>
        </w:tc>
        <w:tc>
          <w:tcPr>
            <w:tcW w:w="703" w:type="pct"/>
            <w:tcBorders>
              <w:tl2br w:val="nil"/>
              <w:tr2bl w:val="nil"/>
            </w:tcBorders>
            <w:vAlign w:val="center"/>
          </w:tcPr>
          <w:p w14:paraId="55019446">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0.4</w:t>
            </w:r>
          </w:p>
        </w:tc>
      </w:tr>
      <w:tr w14:paraId="2688E38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127" w:type="pct"/>
            <w:vMerge w:val="restart"/>
            <w:tcBorders>
              <w:tl2br w:val="nil"/>
              <w:tr2bl w:val="nil"/>
            </w:tcBorders>
            <w:vAlign w:val="center"/>
          </w:tcPr>
          <w:p w14:paraId="5FA6C000">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三角形标志</w:t>
            </w:r>
          </w:p>
          <w:p w14:paraId="349DDA62">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（减速让行标志）</w:t>
            </w:r>
          </w:p>
        </w:tc>
        <w:tc>
          <w:tcPr>
            <w:tcW w:w="1032" w:type="pct"/>
            <w:tcBorders>
              <w:tl2br w:val="nil"/>
              <w:tr2bl w:val="nil"/>
            </w:tcBorders>
            <w:vAlign w:val="center"/>
          </w:tcPr>
          <w:p w14:paraId="56CFE962">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三角形边长（cm）</w:t>
            </w:r>
          </w:p>
        </w:tc>
        <w:tc>
          <w:tcPr>
            <w:tcW w:w="716" w:type="pct"/>
            <w:tcBorders>
              <w:tl2br w:val="nil"/>
              <w:tr2bl w:val="nil"/>
            </w:tcBorders>
            <w:vAlign w:val="center"/>
          </w:tcPr>
          <w:p w14:paraId="3B6A5887">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710" w:type="pct"/>
            <w:tcBorders>
              <w:tl2br w:val="nil"/>
              <w:tr2bl w:val="nil"/>
            </w:tcBorders>
            <w:vAlign w:val="center"/>
          </w:tcPr>
          <w:p w14:paraId="0CFE20B2">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710" w:type="pct"/>
            <w:tcBorders>
              <w:tl2br w:val="nil"/>
              <w:tr2bl w:val="nil"/>
            </w:tcBorders>
            <w:vAlign w:val="center"/>
          </w:tcPr>
          <w:p w14:paraId="7CB6C2E8">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90</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110</w:t>
            </w:r>
            <w:r>
              <w:rPr>
                <w:rFonts w:hint="default" w:ascii="Times New Roman" w:hAnsi="Times New Roman" w:eastAsia="宋体" w:cs="Times New Roman"/>
                <w:color w:val="auto"/>
                <w:sz w:val="21"/>
                <w:szCs w:val="21"/>
                <w:highlight w:val="none"/>
                <w:lang w:eastAsia="zh-CN"/>
              </w:rPr>
              <w:t>）</w:t>
            </w:r>
          </w:p>
        </w:tc>
        <w:tc>
          <w:tcPr>
            <w:tcW w:w="703" w:type="pct"/>
            <w:tcBorders>
              <w:tl2br w:val="nil"/>
              <w:tr2bl w:val="nil"/>
            </w:tcBorders>
            <w:vAlign w:val="center"/>
          </w:tcPr>
          <w:p w14:paraId="59FC3F8B">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90</w:t>
            </w:r>
            <w:r>
              <w:rPr>
                <w:rFonts w:hint="default" w:ascii="Times New Roman" w:hAnsi="Times New Roman" w:eastAsia="宋体" w:cs="Times New Roman"/>
                <w:color w:val="auto"/>
                <w:sz w:val="21"/>
                <w:szCs w:val="21"/>
                <w:highlight w:val="none"/>
                <w:lang w:eastAsia="zh-CN"/>
              </w:rPr>
              <w:t>）</w:t>
            </w:r>
          </w:p>
        </w:tc>
      </w:tr>
      <w:tr w14:paraId="2FA2D80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127" w:type="pct"/>
            <w:vMerge w:val="continue"/>
            <w:tcBorders>
              <w:tl2br w:val="nil"/>
              <w:tr2bl w:val="nil"/>
            </w:tcBorders>
            <w:vAlign w:val="center"/>
          </w:tcPr>
          <w:p w14:paraId="397270E4">
            <w:pPr>
              <w:pStyle w:val="14"/>
              <w:shd w:val="clear" w:fill="FFFFFF" w:themeFill="background1"/>
              <w:bidi w:val="0"/>
              <w:rPr>
                <w:rFonts w:hint="default" w:ascii="Times New Roman" w:hAnsi="Times New Roman" w:eastAsia="宋体" w:cs="Times New Roman"/>
                <w:color w:val="auto"/>
                <w:sz w:val="21"/>
                <w:szCs w:val="21"/>
                <w:highlight w:val="none"/>
              </w:rPr>
            </w:pPr>
          </w:p>
        </w:tc>
        <w:tc>
          <w:tcPr>
            <w:tcW w:w="1032" w:type="pct"/>
            <w:tcBorders>
              <w:tl2br w:val="nil"/>
              <w:tr2bl w:val="nil"/>
            </w:tcBorders>
            <w:vAlign w:val="center"/>
          </w:tcPr>
          <w:p w14:paraId="75C25CA6">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红边宽度（cm）</w:t>
            </w:r>
          </w:p>
        </w:tc>
        <w:tc>
          <w:tcPr>
            <w:tcW w:w="716" w:type="pct"/>
            <w:tcBorders>
              <w:tl2br w:val="nil"/>
              <w:tr2bl w:val="nil"/>
            </w:tcBorders>
            <w:vAlign w:val="center"/>
          </w:tcPr>
          <w:p w14:paraId="57E36F3E">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710" w:type="pct"/>
            <w:tcBorders>
              <w:tl2br w:val="nil"/>
              <w:tr2bl w:val="nil"/>
            </w:tcBorders>
            <w:vAlign w:val="center"/>
          </w:tcPr>
          <w:p w14:paraId="13CF2DF7">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710" w:type="pct"/>
            <w:tcBorders>
              <w:tl2br w:val="nil"/>
              <w:tr2bl w:val="nil"/>
            </w:tcBorders>
            <w:vAlign w:val="center"/>
          </w:tcPr>
          <w:p w14:paraId="3CCB41EF">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11</w:t>
            </w:r>
            <w:r>
              <w:rPr>
                <w:rFonts w:hint="default" w:ascii="Times New Roman" w:hAnsi="Times New Roman" w:eastAsia="宋体" w:cs="Times New Roman"/>
                <w:color w:val="auto"/>
                <w:sz w:val="21"/>
                <w:szCs w:val="21"/>
                <w:highlight w:val="none"/>
                <w:lang w:eastAsia="zh-CN"/>
              </w:rPr>
              <w:t>）</w:t>
            </w:r>
          </w:p>
        </w:tc>
        <w:tc>
          <w:tcPr>
            <w:tcW w:w="703" w:type="pct"/>
            <w:tcBorders>
              <w:tl2br w:val="nil"/>
              <w:tr2bl w:val="nil"/>
            </w:tcBorders>
            <w:vAlign w:val="center"/>
          </w:tcPr>
          <w:p w14:paraId="62897E33">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9</w:t>
            </w:r>
            <w:r>
              <w:rPr>
                <w:rFonts w:hint="default" w:ascii="Times New Roman" w:hAnsi="Times New Roman" w:eastAsia="宋体" w:cs="Times New Roman"/>
                <w:color w:val="auto"/>
                <w:sz w:val="21"/>
                <w:szCs w:val="21"/>
                <w:highlight w:val="none"/>
                <w:lang w:eastAsia="zh-CN"/>
              </w:rPr>
              <w:t>）</w:t>
            </w:r>
          </w:p>
        </w:tc>
      </w:tr>
      <w:tr w14:paraId="500616C9">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127" w:type="pct"/>
            <w:vMerge w:val="continue"/>
            <w:tcBorders>
              <w:tl2br w:val="nil"/>
              <w:tr2bl w:val="nil"/>
            </w:tcBorders>
            <w:vAlign w:val="center"/>
          </w:tcPr>
          <w:p w14:paraId="71BE93AE">
            <w:pPr>
              <w:pStyle w:val="14"/>
              <w:shd w:val="clear" w:fill="FFFFFF" w:themeFill="background1"/>
              <w:bidi w:val="0"/>
              <w:rPr>
                <w:rFonts w:hint="default" w:ascii="Times New Roman" w:hAnsi="Times New Roman" w:eastAsia="宋体" w:cs="Times New Roman"/>
                <w:color w:val="auto"/>
                <w:sz w:val="21"/>
                <w:szCs w:val="21"/>
                <w:highlight w:val="none"/>
              </w:rPr>
            </w:pPr>
          </w:p>
        </w:tc>
        <w:tc>
          <w:tcPr>
            <w:tcW w:w="1032" w:type="pct"/>
            <w:tcBorders>
              <w:tl2br w:val="nil"/>
              <w:tr2bl w:val="nil"/>
            </w:tcBorders>
            <w:vAlign w:val="center"/>
          </w:tcPr>
          <w:p w14:paraId="0C4EEF68">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衬边宽度（cm）</w:t>
            </w:r>
          </w:p>
        </w:tc>
        <w:tc>
          <w:tcPr>
            <w:tcW w:w="716" w:type="pct"/>
            <w:tcBorders>
              <w:tl2br w:val="nil"/>
              <w:tr2bl w:val="nil"/>
            </w:tcBorders>
            <w:vAlign w:val="center"/>
          </w:tcPr>
          <w:p w14:paraId="4251F7B3">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710" w:type="pct"/>
            <w:tcBorders>
              <w:tl2br w:val="nil"/>
              <w:tr2bl w:val="nil"/>
            </w:tcBorders>
            <w:vAlign w:val="center"/>
          </w:tcPr>
          <w:p w14:paraId="6D7D86B1">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710" w:type="pct"/>
            <w:tcBorders>
              <w:tl2br w:val="nil"/>
              <w:tr2bl w:val="nil"/>
            </w:tcBorders>
            <w:vAlign w:val="center"/>
          </w:tcPr>
          <w:p w14:paraId="61049F1B">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0.6</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0.8</w:t>
            </w:r>
            <w:r>
              <w:rPr>
                <w:rFonts w:hint="default" w:ascii="Times New Roman" w:hAnsi="Times New Roman" w:eastAsia="宋体" w:cs="Times New Roman"/>
                <w:color w:val="auto"/>
                <w:sz w:val="21"/>
                <w:szCs w:val="21"/>
                <w:highlight w:val="none"/>
                <w:lang w:eastAsia="zh-CN"/>
              </w:rPr>
              <w:t>）</w:t>
            </w:r>
          </w:p>
        </w:tc>
        <w:tc>
          <w:tcPr>
            <w:tcW w:w="703" w:type="pct"/>
            <w:tcBorders>
              <w:tl2br w:val="nil"/>
              <w:tr2bl w:val="nil"/>
            </w:tcBorders>
            <w:vAlign w:val="center"/>
          </w:tcPr>
          <w:p w14:paraId="68BEDADA">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0.4</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0.6</w:t>
            </w:r>
            <w:r>
              <w:rPr>
                <w:rFonts w:hint="default" w:ascii="Times New Roman" w:hAnsi="Times New Roman" w:eastAsia="宋体" w:cs="Times New Roman"/>
                <w:color w:val="auto"/>
                <w:sz w:val="21"/>
                <w:szCs w:val="21"/>
                <w:highlight w:val="none"/>
                <w:lang w:eastAsia="zh-CN"/>
              </w:rPr>
              <w:t>）</w:t>
            </w:r>
          </w:p>
        </w:tc>
      </w:tr>
      <w:tr w14:paraId="781003D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127" w:type="pct"/>
            <w:vMerge w:val="continue"/>
            <w:tcBorders>
              <w:tl2br w:val="nil"/>
              <w:tr2bl w:val="nil"/>
            </w:tcBorders>
            <w:vAlign w:val="center"/>
          </w:tcPr>
          <w:p w14:paraId="0437D63C">
            <w:pPr>
              <w:pStyle w:val="14"/>
              <w:shd w:val="clear" w:fill="FFFFFF" w:themeFill="background1"/>
              <w:bidi w:val="0"/>
              <w:rPr>
                <w:rFonts w:hint="default" w:ascii="Times New Roman" w:hAnsi="Times New Roman" w:eastAsia="宋体" w:cs="Times New Roman"/>
                <w:color w:val="auto"/>
                <w:sz w:val="21"/>
                <w:szCs w:val="21"/>
                <w:highlight w:val="none"/>
              </w:rPr>
            </w:pPr>
          </w:p>
        </w:tc>
        <w:tc>
          <w:tcPr>
            <w:tcW w:w="1032" w:type="pct"/>
            <w:tcBorders>
              <w:tl2br w:val="nil"/>
              <w:tr2bl w:val="nil"/>
            </w:tcBorders>
            <w:vAlign w:val="center"/>
          </w:tcPr>
          <w:p w14:paraId="766BBDAC">
            <w:pPr>
              <w:pStyle w:val="14"/>
              <w:shd w:val="clear" w:fill="FFFFFF" w:themeFill="background1"/>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红边圆角半径（R）</w:t>
            </w:r>
          </w:p>
        </w:tc>
        <w:tc>
          <w:tcPr>
            <w:tcW w:w="716" w:type="pct"/>
            <w:tcBorders>
              <w:tl2br w:val="nil"/>
              <w:tr2bl w:val="nil"/>
            </w:tcBorders>
            <w:vAlign w:val="center"/>
          </w:tcPr>
          <w:p w14:paraId="5EB57DC8">
            <w:pPr>
              <w:pStyle w:val="14"/>
              <w:shd w:val="clear" w:fill="FFFFFF" w:themeFill="background1"/>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w:t>
            </w:r>
          </w:p>
        </w:tc>
        <w:tc>
          <w:tcPr>
            <w:tcW w:w="710" w:type="pct"/>
            <w:tcBorders>
              <w:tl2br w:val="nil"/>
              <w:tr2bl w:val="nil"/>
            </w:tcBorders>
            <w:vAlign w:val="center"/>
          </w:tcPr>
          <w:p w14:paraId="3DFEE4FD">
            <w:pPr>
              <w:pStyle w:val="14"/>
              <w:shd w:val="clear" w:fill="FFFFFF" w:themeFill="background1"/>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w:t>
            </w:r>
          </w:p>
        </w:tc>
        <w:tc>
          <w:tcPr>
            <w:tcW w:w="710" w:type="pct"/>
            <w:tcBorders>
              <w:tl2br w:val="nil"/>
              <w:tr2bl w:val="nil"/>
            </w:tcBorders>
            <w:vAlign w:val="center"/>
          </w:tcPr>
          <w:p w14:paraId="391D7A31">
            <w:pPr>
              <w:pStyle w:val="14"/>
              <w:shd w:val="clear" w:fill="FFFFFF" w:themeFill="background1"/>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4.0</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5.0</w:t>
            </w:r>
            <w:r>
              <w:rPr>
                <w:rFonts w:hint="default" w:ascii="Times New Roman" w:hAnsi="Times New Roman" w:eastAsia="宋体" w:cs="Times New Roman"/>
                <w:color w:val="auto"/>
                <w:sz w:val="21"/>
                <w:szCs w:val="21"/>
                <w:highlight w:val="none"/>
                <w:lang w:eastAsia="zh-CN"/>
              </w:rPr>
              <w:t>）</w:t>
            </w:r>
          </w:p>
        </w:tc>
        <w:tc>
          <w:tcPr>
            <w:tcW w:w="703" w:type="pct"/>
            <w:tcBorders>
              <w:tl2br w:val="nil"/>
              <w:tr2bl w:val="nil"/>
            </w:tcBorders>
            <w:vAlign w:val="center"/>
          </w:tcPr>
          <w:p w14:paraId="7253A627">
            <w:pPr>
              <w:pStyle w:val="14"/>
              <w:shd w:val="clear" w:fill="FFFFFF" w:themeFill="background1"/>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4.0</w:t>
            </w:r>
            <w:r>
              <w:rPr>
                <w:rFonts w:hint="default" w:ascii="Times New Roman" w:hAnsi="Times New Roman" w:eastAsia="宋体" w:cs="Times New Roman"/>
                <w:color w:val="auto"/>
                <w:sz w:val="21"/>
                <w:szCs w:val="21"/>
                <w:highlight w:val="none"/>
                <w:lang w:eastAsia="zh-CN"/>
              </w:rPr>
              <w:t>）</w:t>
            </w:r>
          </w:p>
        </w:tc>
      </w:tr>
      <w:tr w14:paraId="237A030A">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127" w:type="pct"/>
            <w:vMerge w:val="restart"/>
            <w:tcBorders>
              <w:tl2br w:val="nil"/>
              <w:tr2bl w:val="nil"/>
            </w:tcBorders>
            <w:vAlign w:val="center"/>
          </w:tcPr>
          <w:p w14:paraId="06F245E8">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八角形标志</w:t>
            </w:r>
          </w:p>
          <w:p w14:paraId="7F197EA5">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（停车让行标志）</w:t>
            </w:r>
          </w:p>
        </w:tc>
        <w:tc>
          <w:tcPr>
            <w:tcW w:w="1032" w:type="pct"/>
            <w:tcBorders>
              <w:tl2br w:val="nil"/>
              <w:tr2bl w:val="nil"/>
            </w:tcBorders>
            <w:vAlign w:val="center"/>
          </w:tcPr>
          <w:p w14:paraId="4BB778EB">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标志外径（cm）</w:t>
            </w:r>
          </w:p>
        </w:tc>
        <w:tc>
          <w:tcPr>
            <w:tcW w:w="716" w:type="pct"/>
            <w:tcBorders>
              <w:tl2br w:val="nil"/>
              <w:tr2bl w:val="nil"/>
            </w:tcBorders>
            <w:vAlign w:val="center"/>
          </w:tcPr>
          <w:p w14:paraId="61183A07">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710" w:type="pct"/>
            <w:tcBorders>
              <w:tl2br w:val="nil"/>
              <w:tr2bl w:val="nil"/>
            </w:tcBorders>
            <w:vAlign w:val="center"/>
          </w:tcPr>
          <w:p w14:paraId="7A47F1E4">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710" w:type="pct"/>
            <w:tcBorders>
              <w:tl2br w:val="nil"/>
              <w:tr2bl w:val="nil"/>
            </w:tcBorders>
            <w:vAlign w:val="center"/>
          </w:tcPr>
          <w:p w14:paraId="367D1F5F">
            <w:pPr>
              <w:pStyle w:val="14"/>
              <w:shd w:val="clear" w:fill="FFFFFF" w:themeFill="background1"/>
              <w:bidi w:val="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80</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100</w:t>
            </w:r>
            <w:r>
              <w:rPr>
                <w:rFonts w:hint="default" w:ascii="Times New Roman" w:hAnsi="Times New Roman" w:eastAsia="宋体" w:cs="Times New Roman"/>
                <w:color w:val="auto"/>
                <w:sz w:val="21"/>
                <w:szCs w:val="21"/>
                <w:highlight w:val="none"/>
                <w:lang w:eastAsia="zh-CN"/>
              </w:rPr>
              <w:t>）</w:t>
            </w:r>
          </w:p>
        </w:tc>
        <w:tc>
          <w:tcPr>
            <w:tcW w:w="703" w:type="pct"/>
            <w:tcBorders>
              <w:tl2br w:val="nil"/>
              <w:tr2bl w:val="nil"/>
            </w:tcBorders>
            <w:vAlign w:val="center"/>
          </w:tcPr>
          <w:p w14:paraId="0AAA4CCF">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80</w:t>
            </w:r>
            <w:r>
              <w:rPr>
                <w:rFonts w:hint="default" w:ascii="Times New Roman" w:hAnsi="Times New Roman" w:eastAsia="宋体" w:cs="Times New Roman"/>
                <w:color w:val="auto"/>
                <w:sz w:val="21"/>
                <w:szCs w:val="21"/>
                <w:highlight w:val="none"/>
                <w:lang w:eastAsia="zh-CN"/>
              </w:rPr>
              <w:t>）</w:t>
            </w:r>
          </w:p>
        </w:tc>
      </w:tr>
      <w:tr w14:paraId="6412953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1127" w:type="pct"/>
            <w:vMerge w:val="continue"/>
            <w:tcBorders>
              <w:tl2br w:val="nil"/>
              <w:tr2bl w:val="nil"/>
            </w:tcBorders>
            <w:vAlign w:val="center"/>
          </w:tcPr>
          <w:p w14:paraId="12ACD239">
            <w:pPr>
              <w:pStyle w:val="14"/>
              <w:shd w:val="clear" w:fill="FFFFFF" w:themeFill="background1"/>
              <w:bidi w:val="0"/>
              <w:rPr>
                <w:rFonts w:hint="default" w:ascii="Times New Roman" w:hAnsi="Times New Roman" w:eastAsia="宋体" w:cs="Times New Roman"/>
                <w:color w:val="auto"/>
                <w:sz w:val="21"/>
                <w:szCs w:val="21"/>
                <w:highlight w:val="none"/>
              </w:rPr>
            </w:pPr>
          </w:p>
        </w:tc>
        <w:tc>
          <w:tcPr>
            <w:tcW w:w="1032" w:type="pct"/>
            <w:tcBorders>
              <w:tl2br w:val="nil"/>
              <w:tr2bl w:val="nil"/>
            </w:tcBorders>
            <w:vAlign w:val="center"/>
          </w:tcPr>
          <w:p w14:paraId="41779640">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白边宽度（cm）</w:t>
            </w:r>
          </w:p>
        </w:tc>
        <w:tc>
          <w:tcPr>
            <w:tcW w:w="716" w:type="pct"/>
            <w:tcBorders>
              <w:tl2br w:val="nil"/>
              <w:tr2bl w:val="nil"/>
            </w:tcBorders>
            <w:vAlign w:val="center"/>
          </w:tcPr>
          <w:p w14:paraId="47A70979">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710" w:type="pct"/>
            <w:tcBorders>
              <w:tl2br w:val="nil"/>
              <w:tr2bl w:val="nil"/>
            </w:tcBorders>
            <w:vAlign w:val="center"/>
          </w:tcPr>
          <w:p w14:paraId="6D2C6CCB">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710" w:type="pct"/>
            <w:tcBorders>
              <w:tl2br w:val="nil"/>
              <w:tr2bl w:val="nil"/>
            </w:tcBorders>
            <w:vAlign w:val="center"/>
          </w:tcPr>
          <w:p w14:paraId="5E026EFF">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3.0</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.0</w:t>
            </w:r>
            <w:r>
              <w:rPr>
                <w:rFonts w:hint="default" w:ascii="Times New Roman" w:hAnsi="Times New Roman" w:eastAsia="宋体" w:cs="Times New Roman"/>
                <w:color w:val="auto"/>
                <w:sz w:val="21"/>
                <w:szCs w:val="21"/>
                <w:highlight w:val="none"/>
                <w:lang w:eastAsia="zh-CN"/>
              </w:rPr>
              <w:t>）</w:t>
            </w:r>
          </w:p>
        </w:tc>
        <w:tc>
          <w:tcPr>
            <w:tcW w:w="703" w:type="pct"/>
            <w:tcBorders>
              <w:tl2br w:val="nil"/>
              <w:tr2bl w:val="nil"/>
            </w:tcBorders>
            <w:vAlign w:val="center"/>
          </w:tcPr>
          <w:p w14:paraId="666DB34F">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3.0</w:t>
            </w:r>
            <w:r>
              <w:rPr>
                <w:rFonts w:hint="default" w:ascii="Times New Roman" w:hAnsi="Times New Roman" w:eastAsia="宋体" w:cs="Times New Roman"/>
                <w:color w:val="auto"/>
                <w:sz w:val="21"/>
                <w:szCs w:val="21"/>
                <w:highlight w:val="none"/>
                <w:lang w:eastAsia="zh-CN"/>
              </w:rPr>
              <w:t>）</w:t>
            </w:r>
          </w:p>
        </w:tc>
      </w:tr>
      <w:tr w14:paraId="350C99D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2554" w:type="dxa"/>
            <w:vMerge w:val="restart"/>
            <w:tcBorders>
              <w:tl2br w:val="nil"/>
              <w:tr2bl w:val="nil"/>
            </w:tcBorders>
            <w:vAlign w:val="center"/>
          </w:tcPr>
          <w:p w14:paraId="0221923C">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矩形标志</w:t>
            </w:r>
          </w:p>
          <w:p w14:paraId="2D00E136">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（区域限制和解除标志）</w:t>
            </w:r>
          </w:p>
        </w:tc>
        <w:tc>
          <w:tcPr>
            <w:tcW w:w="2339" w:type="dxa"/>
            <w:tcBorders>
              <w:tl2br w:val="nil"/>
              <w:tr2bl w:val="nil"/>
            </w:tcBorders>
            <w:vAlign w:val="center"/>
          </w:tcPr>
          <w:p w14:paraId="1A3053E8">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长（cm）</w:t>
            </w:r>
          </w:p>
        </w:tc>
        <w:tc>
          <w:tcPr>
            <w:tcW w:w="1623" w:type="dxa"/>
            <w:tcBorders>
              <w:tl2br w:val="nil"/>
              <w:tr2bl w:val="nil"/>
            </w:tcBorders>
            <w:vAlign w:val="center"/>
          </w:tcPr>
          <w:p w14:paraId="18A93B6F">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610" w:type="dxa"/>
            <w:tcBorders>
              <w:tl2br w:val="nil"/>
              <w:tr2bl w:val="nil"/>
            </w:tcBorders>
            <w:vAlign w:val="center"/>
          </w:tcPr>
          <w:p w14:paraId="4FF8E342">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610" w:type="dxa"/>
            <w:tcBorders>
              <w:tl2br w:val="nil"/>
              <w:tr2bl w:val="nil"/>
            </w:tcBorders>
            <w:vAlign w:val="center"/>
          </w:tcPr>
          <w:p w14:paraId="4CB172CA">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120</w:t>
            </w:r>
          </w:p>
        </w:tc>
        <w:tc>
          <w:tcPr>
            <w:tcW w:w="1594" w:type="dxa"/>
            <w:tcBorders>
              <w:tl2br w:val="nil"/>
              <w:tr2bl w:val="nil"/>
            </w:tcBorders>
            <w:vAlign w:val="center"/>
          </w:tcPr>
          <w:p w14:paraId="233C12A0">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90</w:t>
            </w:r>
          </w:p>
        </w:tc>
      </w:tr>
      <w:tr w14:paraId="6D3084A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2554" w:type="dxa"/>
            <w:vMerge w:val="continue"/>
            <w:tcBorders>
              <w:tl2br w:val="nil"/>
              <w:tr2bl w:val="nil"/>
            </w:tcBorders>
            <w:vAlign w:val="center"/>
          </w:tcPr>
          <w:p w14:paraId="5076FEAA">
            <w:pPr>
              <w:pStyle w:val="14"/>
              <w:shd w:val="clear" w:fill="FFFFFF" w:themeFill="background1"/>
              <w:bidi w:val="0"/>
              <w:rPr>
                <w:rFonts w:hint="default" w:ascii="Times New Roman" w:hAnsi="Times New Roman" w:eastAsia="宋体" w:cs="Times New Roman"/>
                <w:color w:val="auto"/>
                <w:sz w:val="21"/>
                <w:szCs w:val="21"/>
                <w:highlight w:val="none"/>
              </w:rPr>
            </w:pPr>
          </w:p>
        </w:tc>
        <w:tc>
          <w:tcPr>
            <w:tcW w:w="2339" w:type="dxa"/>
            <w:tcBorders>
              <w:tl2br w:val="nil"/>
              <w:tr2bl w:val="nil"/>
            </w:tcBorders>
            <w:vAlign w:val="center"/>
          </w:tcPr>
          <w:p w14:paraId="248CB69E">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宽（cm）</w:t>
            </w:r>
          </w:p>
        </w:tc>
        <w:tc>
          <w:tcPr>
            <w:tcW w:w="1623" w:type="dxa"/>
            <w:tcBorders>
              <w:tl2br w:val="nil"/>
              <w:tr2bl w:val="nil"/>
            </w:tcBorders>
            <w:vAlign w:val="center"/>
          </w:tcPr>
          <w:p w14:paraId="4D17519F">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610" w:type="dxa"/>
            <w:tcBorders>
              <w:tl2br w:val="nil"/>
              <w:tr2bl w:val="nil"/>
            </w:tcBorders>
            <w:vAlign w:val="center"/>
          </w:tcPr>
          <w:p w14:paraId="4DCB748C">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610" w:type="dxa"/>
            <w:tcBorders>
              <w:tl2br w:val="nil"/>
              <w:tr2bl w:val="nil"/>
            </w:tcBorders>
            <w:vAlign w:val="center"/>
          </w:tcPr>
          <w:p w14:paraId="5FE49251">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170</w:t>
            </w:r>
          </w:p>
        </w:tc>
        <w:tc>
          <w:tcPr>
            <w:tcW w:w="1594" w:type="dxa"/>
            <w:tcBorders>
              <w:tl2br w:val="nil"/>
              <w:tr2bl w:val="nil"/>
            </w:tcBorders>
            <w:vAlign w:val="center"/>
          </w:tcPr>
          <w:p w14:paraId="27F67716">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130</w:t>
            </w:r>
          </w:p>
        </w:tc>
      </w:tr>
      <w:tr w14:paraId="0067249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2554" w:type="dxa"/>
            <w:vMerge w:val="continue"/>
            <w:tcBorders>
              <w:tl2br w:val="nil"/>
              <w:tr2bl w:val="nil"/>
            </w:tcBorders>
            <w:vAlign w:val="center"/>
          </w:tcPr>
          <w:p w14:paraId="575BA1C8">
            <w:pPr>
              <w:pStyle w:val="14"/>
              <w:shd w:val="clear" w:fill="FFFFFF" w:themeFill="background1"/>
              <w:bidi w:val="0"/>
              <w:rPr>
                <w:rFonts w:hint="default" w:ascii="Times New Roman" w:hAnsi="Times New Roman" w:eastAsia="宋体" w:cs="Times New Roman"/>
                <w:color w:val="auto"/>
                <w:sz w:val="21"/>
                <w:szCs w:val="21"/>
                <w:highlight w:val="none"/>
              </w:rPr>
            </w:pPr>
          </w:p>
        </w:tc>
        <w:tc>
          <w:tcPr>
            <w:tcW w:w="2339" w:type="dxa"/>
            <w:tcBorders>
              <w:tl2br w:val="nil"/>
              <w:tr2bl w:val="nil"/>
            </w:tcBorders>
            <w:vAlign w:val="center"/>
          </w:tcPr>
          <w:p w14:paraId="6CDC14DC">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黑边框宽度（cm）</w:t>
            </w:r>
          </w:p>
        </w:tc>
        <w:tc>
          <w:tcPr>
            <w:tcW w:w="1623" w:type="dxa"/>
            <w:tcBorders>
              <w:tl2br w:val="nil"/>
              <w:tr2bl w:val="nil"/>
            </w:tcBorders>
            <w:vAlign w:val="center"/>
          </w:tcPr>
          <w:p w14:paraId="5908433D">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610" w:type="dxa"/>
            <w:tcBorders>
              <w:tl2br w:val="nil"/>
              <w:tr2bl w:val="nil"/>
            </w:tcBorders>
            <w:vAlign w:val="center"/>
          </w:tcPr>
          <w:p w14:paraId="097CC34D">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1610" w:type="dxa"/>
            <w:tcBorders>
              <w:tl2br w:val="nil"/>
              <w:tr2bl w:val="nil"/>
            </w:tcBorders>
            <w:vAlign w:val="center"/>
          </w:tcPr>
          <w:p w14:paraId="7F7376AA">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1594" w:type="dxa"/>
            <w:tcBorders>
              <w:tl2br w:val="nil"/>
              <w:tr2bl w:val="nil"/>
            </w:tcBorders>
            <w:vAlign w:val="center"/>
          </w:tcPr>
          <w:p w14:paraId="1E6E9B48">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r>
      <w:tr w14:paraId="5D8542E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2554" w:type="dxa"/>
            <w:vMerge w:val="continue"/>
            <w:tcBorders>
              <w:tl2br w:val="nil"/>
              <w:tr2bl w:val="nil"/>
            </w:tcBorders>
            <w:vAlign w:val="center"/>
          </w:tcPr>
          <w:p w14:paraId="6DA384B3">
            <w:pPr>
              <w:pStyle w:val="14"/>
              <w:shd w:val="clear" w:fill="FFFFFF" w:themeFill="background1"/>
              <w:bidi w:val="0"/>
              <w:rPr>
                <w:rFonts w:hint="default" w:ascii="Times New Roman" w:hAnsi="Times New Roman" w:eastAsia="宋体" w:cs="Times New Roman"/>
                <w:color w:val="auto"/>
                <w:sz w:val="21"/>
                <w:szCs w:val="21"/>
                <w:highlight w:val="none"/>
              </w:rPr>
            </w:pPr>
          </w:p>
        </w:tc>
        <w:tc>
          <w:tcPr>
            <w:tcW w:w="2339" w:type="dxa"/>
            <w:tcBorders>
              <w:tl2br w:val="nil"/>
              <w:tr2bl w:val="nil"/>
            </w:tcBorders>
            <w:vAlign w:val="center"/>
          </w:tcPr>
          <w:p w14:paraId="4D5222A4">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衬边宽度（cm）</w:t>
            </w:r>
          </w:p>
        </w:tc>
        <w:tc>
          <w:tcPr>
            <w:tcW w:w="1623" w:type="dxa"/>
            <w:tcBorders>
              <w:tl2br w:val="nil"/>
              <w:tr2bl w:val="nil"/>
            </w:tcBorders>
            <w:vAlign w:val="center"/>
          </w:tcPr>
          <w:p w14:paraId="58C71DDC">
            <w:pPr>
              <w:pStyle w:val="14"/>
              <w:shd w:val="clear" w:fill="FFFFFF" w:themeFill="background1"/>
              <w:bidi w:val="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1</w:t>
            </w:r>
          </w:p>
        </w:tc>
        <w:tc>
          <w:tcPr>
            <w:tcW w:w="1610" w:type="dxa"/>
            <w:tcBorders>
              <w:tl2br w:val="nil"/>
              <w:tr2bl w:val="nil"/>
            </w:tcBorders>
            <w:vAlign w:val="center"/>
          </w:tcPr>
          <w:p w14:paraId="1859AD4F">
            <w:pPr>
              <w:pStyle w:val="14"/>
              <w:shd w:val="clear" w:fill="FFFFFF" w:themeFill="background1"/>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0.8</w:t>
            </w:r>
          </w:p>
        </w:tc>
        <w:tc>
          <w:tcPr>
            <w:tcW w:w="1610" w:type="dxa"/>
            <w:tcBorders>
              <w:tl2br w:val="nil"/>
              <w:tr2bl w:val="nil"/>
            </w:tcBorders>
            <w:vAlign w:val="center"/>
          </w:tcPr>
          <w:p w14:paraId="28B75EBB">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0.6</w:t>
            </w:r>
          </w:p>
        </w:tc>
        <w:tc>
          <w:tcPr>
            <w:tcW w:w="1594" w:type="dxa"/>
            <w:tcBorders>
              <w:tl2br w:val="nil"/>
              <w:tr2bl w:val="nil"/>
            </w:tcBorders>
            <w:vAlign w:val="center"/>
          </w:tcPr>
          <w:p w14:paraId="3615B252">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0.4</w:t>
            </w:r>
          </w:p>
        </w:tc>
      </w:tr>
    </w:tbl>
    <w:p w14:paraId="59F2B386">
      <w:pPr>
        <w:pStyle w:val="3"/>
        <w:shd w:val="clear" w:fill="FFFFFF" w:themeFill="background1"/>
        <w:bidi w:val="0"/>
        <w:rPr>
          <w:rFonts w:hint="default" w:ascii="Times New Roman" w:hAnsi="Times New Roman" w:eastAsia="宋体" w:cs="Times New Roman"/>
          <w:b/>
          <w:bCs/>
          <w:color w:val="auto"/>
          <w:kern w:val="2"/>
          <w:sz w:val="24"/>
          <w:szCs w:val="24"/>
          <w:highlight w:val="none"/>
          <w:u w:val="double"/>
          <w:lang w:val="en-US" w:eastAsia="zh-CN" w:bidi="ar-SA"/>
        </w:rPr>
      </w:pPr>
      <w:r>
        <w:rPr>
          <w:rFonts w:hint="default" w:ascii="Times New Roman" w:hAnsi="Times New Roman" w:eastAsia="宋体" w:cs="Times New Roman"/>
          <w:b/>
          <w:bCs/>
          <w:color w:val="auto"/>
          <w:kern w:val="2"/>
          <w:sz w:val="24"/>
          <w:szCs w:val="24"/>
          <w:highlight w:val="none"/>
          <w:u w:val="double"/>
          <w:lang w:val="en-US" w:eastAsia="zh-CN" w:bidi="ar-SA"/>
        </w:rPr>
        <w:t>汉字高度与速度的关系</w:t>
      </w:r>
    </w:p>
    <w:tbl>
      <w:tblPr>
        <w:tblStyle w:val="6"/>
        <w:tblW w:w="5000" w:type="pct"/>
        <w:jc w:val="center"/>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77"/>
        <w:gridCol w:w="1598"/>
        <w:gridCol w:w="1591"/>
        <w:gridCol w:w="1591"/>
        <w:gridCol w:w="1864"/>
      </w:tblGrid>
      <w:tr w14:paraId="7F6B83A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2001" w:type="dxa"/>
            <w:tcBorders>
              <w:tl2br w:val="nil"/>
              <w:tr2bl w:val="nil"/>
            </w:tcBorders>
            <w:vAlign w:val="center"/>
          </w:tcPr>
          <w:p w14:paraId="1D60A856">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速度（km/h）</w:t>
            </w:r>
          </w:p>
        </w:tc>
        <w:tc>
          <w:tcPr>
            <w:tcW w:w="1704" w:type="dxa"/>
            <w:tcBorders>
              <w:tl2br w:val="nil"/>
              <w:tr2bl w:val="nil"/>
            </w:tcBorders>
            <w:vAlign w:val="center"/>
          </w:tcPr>
          <w:p w14:paraId="1D047AEC">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120～100</w:t>
            </w:r>
          </w:p>
        </w:tc>
        <w:tc>
          <w:tcPr>
            <w:tcW w:w="1696" w:type="dxa"/>
            <w:tcBorders>
              <w:tl2br w:val="nil"/>
              <w:tr2bl w:val="nil"/>
            </w:tcBorders>
            <w:vAlign w:val="center"/>
          </w:tcPr>
          <w:p w14:paraId="70D19746">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99～71</w:t>
            </w:r>
          </w:p>
        </w:tc>
        <w:tc>
          <w:tcPr>
            <w:tcW w:w="1696" w:type="dxa"/>
            <w:tcBorders>
              <w:tl2br w:val="nil"/>
              <w:tr2bl w:val="nil"/>
            </w:tcBorders>
            <w:vAlign w:val="center"/>
          </w:tcPr>
          <w:p w14:paraId="65185DB8">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70～40</w:t>
            </w:r>
          </w:p>
        </w:tc>
        <w:tc>
          <w:tcPr>
            <w:tcW w:w="1987" w:type="dxa"/>
            <w:tcBorders>
              <w:tl2br w:val="nil"/>
              <w:tr2bl w:val="nil"/>
            </w:tcBorders>
            <w:vAlign w:val="center"/>
          </w:tcPr>
          <w:p w14:paraId="1DC62415">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&lt;40</w:t>
            </w:r>
          </w:p>
        </w:tc>
      </w:tr>
      <w:tr w14:paraId="52246E0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2001" w:type="dxa"/>
            <w:tcBorders>
              <w:tl2br w:val="nil"/>
              <w:tr2bl w:val="nil"/>
            </w:tcBorders>
            <w:vAlign w:val="center"/>
          </w:tcPr>
          <w:p w14:paraId="26D50F96">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汉字高度（cm）</w:t>
            </w:r>
          </w:p>
        </w:tc>
        <w:tc>
          <w:tcPr>
            <w:tcW w:w="1704" w:type="dxa"/>
            <w:tcBorders>
              <w:tl2br w:val="nil"/>
              <w:tr2bl w:val="nil"/>
            </w:tcBorders>
            <w:vAlign w:val="center"/>
          </w:tcPr>
          <w:p w14:paraId="1367BAF5">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70～60</w:t>
            </w:r>
          </w:p>
        </w:tc>
        <w:tc>
          <w:tcPr>
            <w:tcW w:w="1696" w:type="dxa"/>
            <w:tcBorders>
              <w:tl2br w:val="nil"/>
              <w:tr2bl w:val="nil"/>
            </w:tcBorders>
            <w:vAlign w:val="center"/>
          </w:tcPr>
          <w:p w14:paraId="64986C56">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60～50</w:t>
            </w:r>
          </w:p>
        </w:tc>
        <w:tc>
          <w:tcPr>
            <w:tcW w:w="1696" w:type="dxa"/>
            <w:tcBorders>
              <w:tl2br w:val="nil"/>
              <w:tr2bl w:val="nil"/>
            </w:tcBorders>
            <w:vAlign w:val="center"/>
          </w:tcPr>
          <w:p w14:paraId="71483144">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50～35</w:t>
            </w:r>
          </w:p>
        </w:tc>
        <w:tc>
          <w:tcPr>
            <w:tcW w:w="1987" w:type="dxa"/>
            <w:tcBorders>
              <w:tl2br w:val="nil"/>
              <w:tr2bl w:val="nil"/>
            </w:tcBorders>
            <w:vAlign w:val="center"/>
          </w:tcPr>
          <w:p w14:paraId="3D3829F0">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25～30</w:t>
            </w:r>
          </w:p>
        </w:tc>
      </w:tr>
    </w:tbl>
    <w:p w14:paraId="20DCE2FE">
      <w:pPr>
        <w:pStyle w:val="3"/>
        <w:shd w:val="clear" w:fill="FFFFFF" w:themeFill="background1"/>
        <w:bidi w:val="0"/>
        <w:rPr>
          <w:rFonts w:hint="default" w:ascii="Times New Roman" w:hAnsi="Times New Roman" w:eastAsia="宋体" w:cs="Times New Roman"/>
          <w:b/>
          <w:bCs/>
          <w:color w:val="auto"/>
          <w:kern w:val="2"/>
          <w:sz w:val="24"/>
          <w:szCs w:val="24"/>
          <w:highlight w:val="none"/>
          <w:u w:val="double"/>
          <w:lang w:val="en-US" w:eastAsia="zh-CN" w:bidi="ar-SA"/>
        </w:rPr>
      </w:pPr>
      <w:r>
        <w:rPr>
          <w:rFonts w:hint="default" w:ascii="Times New Roman" w:hAnsi="Times New Roman" w:eastAsia="宋体" w:cs="Times New Roman"/>
          <w:b/>
          <w:bCs/>
          <w:color w:val="auto"/>
          <w:kern w:val="2"/>
          <w:sz w:val="24"/>
          <w:szCs w:val="24"/>
          <w:highlight w:val="none"/>
          <w:u w:val="double"/>
          <w:lang w:val="en-US" w:eastAsia="zh-CN" w:bidi="ar-SA"/>
        </w:rPr>
        <w:t>警告标志尺寸与速度的关系</w:t>
      </w:r>
    </w:p>
    <w:tbl>
      <w:tblPr>
        <w:tblStyle w:val="6"/>
        <w:tblW w:w="5000" w:type="pct"/>
        <w:jc w:val="center"/>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92"/>
        <w:gridCol w:w="1735"/>
        <w:gridCol w:w="1470"/>
        <w:gridCol w:w="1335"/>
        <w:gridCol w:w="990"/>
      </w:tblGrid>
      <w:tr w14:paraId="0A98130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3176" w:type="dxa"/>
            <w:tcBorders>
              <w:tl2br w:val="nil"/>
              <w:tr2bl w:val="nil"/>
            </w:tcBorders>
            <w:vAlign w:val="center"/>
          </w:tcPr>
          <w:p w14:paraId="26F71565">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速度（km/h）</w:t>
            </w:r>
          </w:p>
        </w:tc>
        <w:tc>
          <w:tcPr>
            <w:tcW w:w="1842" w:type="dxa"/>
            <w:tcBorders>
              <w:tl2br w:val="nil"/>
              <w:tr2bl w:val="nil"/>
            </w:tcBorders>
            <w:vAlign w:val="center"/>
          </w:tcPr>
          <w:p w14:paraId="4BA7FB76">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120～100</w:t>
            </w:r>
          </w:p>
        </w:tc>
        <w:tc>
          <w:tcPr>
            <w:tcW w:w="1560" w:type="dxa"/>
            <w:tcBorders>
              <w:tl2br w:val="nil"/>
              <w:tr2bl w:val="nil"/>
            </w:tcBorders>
            <w:vAlign w:val="center"/>
          </w:tcPr>
          <w:p w14:paraId="3EF6D419">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99～71</w:t>
            </w:r>
          </w:p>
        </w:tc>
        <w:tc>
          <w:tcPr>
            <w:tcW w:w="1417" w:type="dxa"/>
            <w:tcBorders>
              <w:tl2br w:val="nil"/>
              <w:tr2bl w:val="nil"/>
            </w:tcBorders>
            <w:vAlign w:val="center"/>
          </w:tcPr>
          <w:p w14:paraId="46491F21">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60～40</w:t>
            </w:r>
          </w:p>
        </w:tc>
        <w:tc>
          <w:tcPr>
            <w:tcW w:w="1051" w:type="dxa"/>
            <w:tcBorders>
              <w:tl2br w:val="nil"/>
              <w:tr2bl w:val="nil"/>
            </w:tcBorders>
            <w:vAlign w:val="center"/>
          </w:tcPr>
          <w:p w14:paraId="343CC1C1">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&lt;40</w:t>
            </w:r>
          </w:p>
        </w:tc>
      </w:tr>
      <w:tr w14:paraId="0ACCF4A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3176" w:type="dxa"/>
            <w:tcBorders>
              <w:tl2br w:val="nil"/>
              <w:tr2bl w:val="nil"/>
            </w:tcBorders>
            <w:vAlign w:val="center"/>
          </w:tcPr>
          <w:p w14:paraId="13047882">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三角形边长（cm）</w:t>
            </w:r>
          </w:p>
        </w:tc>
        <w:tc>
          <w:tcPr>
            <w:tcW w:w="1842" w:type="dxa"/>
            <w:tcBorders>
              <w:tl2br w:val="nil"/>
              <w:tr2bl w:val="nil"/>
            </w:tcBorders>
            <w:vAlign w:val="center"/>
          </w:tcPr>
          <w:p w14:paraId="0A053C93">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130</w:t>
            </w:r>
          </w:p>
        </w:tc>
        <w:tc>
          <w:tcPr>
            <w:tcW w:w="1560" w:type="dxa"/>
            <w:tcBorders>
              <w:tl2br w:val="nil"/>
              <w:tr2bl w:val="nil"/>
            </w:tcBorders>
            <w:vAlign w:val="center"/>
          </w:tcPr>
          <w:p w14:paraId="1DD6C69A">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110</w:t>
            </w:r>
          </w:p>
        </w:tc>
        <w:tc>
          <w:tcPr>
            <w:tcW w:w="1417" w:type="dxa"/>
            <w:tcBorders>
              <w:tl2br w:val="nil"/>
              <w:tr2bl w:val="nil"/>
            </w:tcBorders>
            <w:vAlign w:val="center"/>
          </w:tcPr>
          <w:p w14:paraId="4A764074">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90</w:t>
            </w:r>
          </w:p>
        </w:tc>
        <w:tc>
          <w:tcPr>
            <w:tcW w:w="1051" w:type="dxa"/>
            <w:tcBorders>
              <w:tl2br w:val="nil"/>
              <w:tr2bl w:val="nil"/>
            </w:tcBorders>
            <w:vAlign w:val="center"/>
          </w:tcPr>
          <w:p w14:paraId="25F52F73">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w:t>
            </w:r>
          </w:p>
        </w:tc>
      </w:tr>
      <w:tr w14:paraId="049F0DB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3176" w:type="dxa"/>
            <w:tcBorders>
              <w:tl2br w:val="nil"/>
              <w:tr2bl w:val="nil"/>
            </w:tcBorders>
            <w:vAlign w:val="center"/>
          </w:tcPr>
          <w:p w14:paraId="37BCED92">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黑边宽度（cm）</w:t>
            </w:r>
          </w:p>
        </w:tc>
        <w:tc>
          <w:tcPr>
            <w:tcW w:w="1842" w:type="dxa"/>
            <w:tcBorders>
              <w:tl2br w:val="nil"/>
              <w:tr2bl w:val="nil"/>
            </w:tcBorders>
            <w:vAlign w:val="center"/>
          </w:tcPr>
          <w:p w14:paraId="3BBC36BD">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w:t>
            </w:r>
          </w:p>
        </w:tc>
        <w:tc>
          <w:tcPr>
            <w:tcW w:w="1560" w:type="dxa"/>
            <w:tcBorders>
              <w:tl2br w:val="nil"/>
              <w:tr2bl w:val="nil"/>
            </w:tcBorders>
            <w:vAlign w:val="center"/>
          </w:tcPr>
          <w:p w14:paraId="0E81B548">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w:t>
            </w:r>
          </w:p>
        </w:tc>
        <w:tc>
          <w:tcPr>
            <w:tcW w:w="1417" w:type="dxa"/>
            <w:tcBorders>
              <w:tl2br w:val="nil"/>
              <w:tr2bl w:val="nil"/>
            </w:tcBorders>
            <w:vAlign w:val="center"/>
          </w:tcPr>
          <w:p w14:paraId="76D7C388">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w:t>
            </w:r>
          </w:p>
        </w:tc>
        <w:tc>
          <w:tcPr>
            <w:tcW w:w="1051" w:type="dxa"/>
            <w:tcBorders>
              <w:tl2br w:val="nil"/>
              <w:tr2bl w:val="nil"/>
            </w:tcBorders>
            <w:vAlign w:val="center"/>
          </w:tcPr>
          <w:p w14:paraId="5C48B19B">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w:t>
            </w:r>
          </w:p>
        </w:tc>
      </w:tr>
      <w:tr w14:paraId="414591C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3176" w:type="dxa"/>
            <w:tcBorders>
              <w:tl2br w:val="nil"/>
              <w:tr2bl w:val="nil"/>
            </w:tcBorders>
            <w:vAlign w:val="center"/>
          </w:tcPr>
          <w:p w14:paraId="216C15E1">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黑边圆角半径（cm）</w:t>
            </w:r>
          </w:p>
        </w:tc>
        <w:tc>
          <w:tcPr>
            <w:tcW w:w="1842" w:type="dxa"/>
            <w:tcBorders>
              <w:tl2br w:val="nil"/>
              <w:tr2bl w:val="nil"/>
            </w:tcBorders>
            <w:vAlign w:val="center"/>
          </w:tcPr>
          <w:p w14:paraId="65BBDE1D">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w:t>
            </w:r>
          </w:p>
        </w:tc>
        <w:tc>
          <w:tcPr>
            <w:tcW w:w="1560" w:type="dxa"/>
            <w:tcBorders>
              <w:tl2br w:val="nil"/>
              <w:tr2bl w:val="nil"/>
            </w:tcBorders>
            <w:vAlign w:val="center"/>
          </w:tcPr>
          <w:p w14:paraId="4C0EDA9E">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w:t>
            </w:r>
          </w:p>
        </w:tc>
        <w:tc>
          <w:tcPr>
            <w:tcW w:w="1417" w:type="dxa"/>
            <w:tcBorders>
              <w:tl2br w:val="nil"/>
              <w:tr2bl w:val="nil"/>
            </w:tcBorders>
            <w:vAlign w:val="center"/>
          </w:tcPr>
          <w:p w14:paraId="0564FDAA">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p>
        </w:tc>
        <w:tc>
          <w:tcPr>
            <w:tcW w:w="1051" w:type="dxa"/>
            <w:tcBorders>
              <w:tl2br w:val="nil"/>
              <w:tr2bl w:val="nil"/>
            </w:tcBorders>
            <w:vAlign w:val="center"/>
          </w:tcPr>
          <w:p w14:paraId="1281A31E">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r>
      <w:tr w14:paraId="769BDF2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3176" w:type="dxa"/>
            <w:tcBorders>
              <w:tl2br w:val="nil"/>
              <w:tr2bl w:val="nil"/>
            </w:tcBorders>
            <w:vAlign w:val="center"/>
          </w:tcPr>
          <w:p w14:paraId="01AA62F8">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衬边宽度（cm）</w:t>
            </w:r>
          </w:p>
        </w:tc>
        <w:tc>
          <w:tcPr>
            <w:tcW w:w="1842" w:type="dxa"/>
            <w:tcBorders>
              <w:tl2br w:val="nil"/>
              <w:tr2bl w:val="nil"/>
            </w:tcBorders>
            <w:vAlign w:val="center"/>
          </w:tcPr>
          <w:p w14:paraId="00725A53">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p>
        </w:tc>
        <w:tc>
          <w:tcPr>
            <w:tcW w:w="1560" w:type="dxa"/>
            <w:tcBorders>
              <w:tl2br w:val="nil"/>
              <w:tr2bl w:val="nil"/>
            </w:tcBorders>
            <w:vAlign w:val="center"/>
          </w:tcPr>
          <w:p w14:paraId="7510015B">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0.8</w:t>
            </w:r>
          </w:p>
        </w:tc>
        <w:tc>
          <w:tcPr>
            <w:tcW w:w="1417" w:type="dxa"/>
            <w:tcBorders>
              <w:tl2br w:val="nil"/>
              <w:tr2bl w:val="nil"/>
            </w:tcBorders>
            <w:vAlign w:val="center"/>
          </w:tcPr>
          <w:p w14:paraId="6C3BC881">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0.6</w:t>
            </w:r>
          </w:p>
        </w:tc>
        <w:tc>
          <w:tcPr>
            <w:tcW w:w="1051" w:type="dxa"/>
            <w:tcBorders>
              <w:tl2br w:val="nil"/>
              <w:tr2bl w:val="nil"/>
            </w:tcBorders>
            <w:vAlign w:val="center"/>
          </w:tcPr>
          <w:p w14:paraId="3EDBAA71">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0.4</w:t>
            </w:r>
          </w:p>
        </w:tc>
      </w:tr>
    </w:tbl>
    <w:p w14:paraId="4D2BE480">
      <w:pPr>
        <w:pStyle w:val="3"/>
        <w:shd w:val="clear" w:fill="FFFFFF" w:themeFill="background1"/>
        <w:bidi w:val="0"/>
        <w:rPr>
          <w:rFonts w:hint="default" w:ascii="Times New Roman" w:hAnsi="Times New Roman" w:eastAsia="宋体" w:cs="Times New Roman"/>
          <w:b/>
          <w:bCs/>
          <w:color w:val="auto"/>
          <w:kern w:val="2"/>
          <w:sz w:val="24"/>
          <w:szCs w:val="24"/>
          <w:highlight w:val="none"/>
          <w:u w:val="double"/>
          <w:lang w:val="en-US" w:eastAsia="zh-CN" w:bidi="ar-SA"/>
        </w:rPr>
      </w:pPr>
      <w:r>
        <w:rPr>
          <w:rFonts w:hint="default" w:ascii="Times New Roman" w:hAnsi="Times New Roman" w:eastAsia="宋体" w:cs="Times New Roman"/>
          <w:b/>
          <w:bCs/>
          <w:color w:val="auto"/>
          <w:kern w:val="2"/>
          <w:sz w:val="24"/>
          <w:szCs w:val="24"/>
          <w:highlight w:val="none"/>
          <w:u w:val="double"/>
          <w:lang w:val="en-US" w:eastAsia="zh-CN" w:bidi="ar-SA"/>
        </w:rPr>
        <w:t>指示标志尺寸与速度的关系</w:t>
      </w:r>
    </w:p>
    <w:tbl>
      <w:tblPr>
        <w:tblStyle w:val="6"/>
        <w:tblW w:w="5000" w:type="pct"/>
        <w:jc w:val="center"/>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37"/>
        <w:gridCol w:w="1527"/>
        <w:gridCol w:w="1528"/>
        <w:gridCol w:w="1528"/>
        <w:gridCol w:w="1502"/>
      </w:tblGrid>
      <w:tr w14:paraId="1C5EB95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430" w:type="pct"/>
            <w:tcBorders>
              <w:tl2br w:val="nil"/>
              <w:tr2bl w:val="nil"/>
            </w:tcBorders>
            <w:vAlign w:val="center"/>
          </w:tcPr>
          <w:p w14:paraId="30C603A1">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速度（km/h）</w:t>
            </w:r>
          </w:p>
        </w:tc>
        <w:tc>
          <w:tcPr>
            <w:tcW w:w="896" w:type="pct"/>
            <w:tcBorders>
              <w:tl2br w:val="nil"/>
              <w:tr2bl w:val="nil"/>
            </w:tcBorders>
            <w:vAlign w:val="center"/>
          </w:tcPr>
          <w:p w14:paraId="18921EC7">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120～100</w:t>
            </w:r>
          </w:p>
        </w:tc>
        <w:tc>
          <w:tcPr>
            <w:tcW w:w="896" w:type="pct"/>
            <w:tcBorders>
              <w:tl2br w:val="nil"/>
              <w:tr2bl w:val="nil"/>
            </w:tcBorders>
            <w:vAlign w:val="center"/>
          </w:tcPr>
          <w:p w14:paraId="35D3D81D">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99～71</w:t>
            </w:r>
          </w:p>
        </w:tc>
        <w:tc>
          <w:tcPr>
            <w:tcW w:w="896" w:type="pct"/>
            <w:tcBorders>
              <w:tl2br w:val="nil"/>
              <w:tr2bl w:val="nil"/>
            </w:tcBorders>
            <w:vAlign w:val="center"/>
          </w:tcPr>
          <w:p w14:paraId="345C023C">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60～40</w:t>
            </w:r>
          </w:p>
        </w:tc>
        <w:tc>
          <w:tcPr>
            <w:tcW w:w="881" w:type="pct"/>
            <w:tcBorders>
              <w:tl2br w:val="nil"/>
              <w:tr2bl w:val="nil"/>
            </w:tcBorders>
            <w:vAlign w:val="center"/>
          </w:tcPr>
          <w:p w14:paraId="0302E949">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&lt;40</w:t>
            </w:r>
          </w:p>
        </w:tc>
      </w:tr>
      <w:tr w14:paraId="50BFDBC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430" w:type="pct"/>
            <w:tcBorders>
              <w:tl2br w:val="nil"/>
              <w:tr2bl w:val="nil"/>
            </w:tcBorders>
            <w:vAlign w:val="center"/>
          </w:tcPr>
          <w:p w14:paraId="6FBBBECF">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圆形直径（cm）</w:t>
            </w:r>
          </w:p>
        </w:tc>
        <w:tc>
          <w:tcPr>
            <w:tcW w:w="896" w:type="pct"/>
            <w:tcBorders>
              <w:tl2br w:val="nil"/>
              <w:tr2bl w:val="nil"/>
            </w:tcBorders>
            <w:vAlign w:val="center"/>
          </w:tcPr>
          <w:p w14:paraId="7D05F59F">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120</w:t>
            </w:r>
          </w:p>
        </w:tc>
        <w:tc>
          <w:tcPr>
            <w:tcW w:w="896" w:type="pct"/>
            <w:tcBorders>
              <w:tl2br w:val="nil"/>
              <w:tr2bl w:val="nil"/>
            </w:tcBorders>
            <w:vAlign w:val="center"/>
          </w:tcPr>
          <w:p w14:paraId="5E05A21E">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w:t>
            </w:r>
          </w:p>
        </w:tc>
        <w:tc>
          <w:tcPr>
            <w:tcW w:w="896" w:type="pct"/>
            <w:tcBorders>
              <w:tl2br w:val="nil"/>
              <w:tr2bl w:val="nil"/>
            </w:tcBorders>
            <w:vAlign w:val="center"/>
          </w:tcPr>
          <w:p w14:paraId="6601AAEC">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80</w:t>
            </w:r>
          </w:p>
        </w:tc>
        <w:tc>
          <w:tcPr>
            <w:tcW w:w="881" w:type="pct"/>
            <w:tcBorders>
              <w:tl2br w:val="nil"/>
              <w:tr2bl w:val="nil"/>
            </w:tcBorders>
            <w:vAlign w:val="center"/>
          </w:tcPr>
          <w:p w14:paraId="62D29F65">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r>
      <w:tr w14:paraId="151145D9">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430" w:type="pct"/>
            <w:tcBorders>
              <w:tl2br w:val="nil"/>
              <w:tr2bl w:val="nil"/>
            </w:tcBorders>
            <w:vAlign w:val="center"/>
          </w:tcPr>
          <w:p w14:paraId="32AC7E0D">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正方形边长（cm）</w:t>
            </w:r>
          </w:p>
        </w:tc>
        <w:tc>
          <w:tcPr>
            <w:tcW w:w="896" w:type="pct"/>
            <w:tcBorders>
              <w:tl2br w:val="nil"/>
              <w:tr2bl w:val="nil"/>
            </w:tcBorders>
            <w:vAlign w:val="center"/>
          </w:tcPr>
          <w:p w14:paraId="04471593">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120</w:t>
            </w:r>
          </w:p>
        </w:tc>
        <w:tc>
          <w:tcPr>
            <w:tcW w:w="896" w:type="pct"/>
            <w:tcBorders>
              <w:tl2br w:val="nil"/>
              <w:tr2bl w:val="nil"/>
            </w:tcBorders>
            <w:vAlign w:val="center"/>
          </w:tcPr>
          <w:p w14:paraId="28072A67">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w:t>
            </w:r>
          </w:p>
        </w:tc>
        <w:tc>
          <w:tcPr>
            <w:tcW w:w="896" w:type="pct"/>
            <w:tcBorders>
              <w:tl2br w:val="nil"/>
              <w:tr2bl w:val="nil"/>
            </w:tcBorders>
            <w:vAlign w:val="center"/>
          </w:tcPr>
          <w:p w14:paraId="1E7AC856">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80</w:t>
            </w:r>
          </w:p>
        </w:tc>
        <w:tc>
          <w:tcPr>
            <w:tcW w:w="881" w:type="pct"/>
            <w:tcBorders>
              <w:tl2br w:val="nil"/>
              <w:tr2bl w:val="nil"/>
            </w:tcBorders>
            <w:vAlign w:val="center"/>
          </w:tcPr>
          <w:p w14:paraId="7DCD0B76">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r>
      <w:tr w14:paraId="1B69D44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430" w:type="pct"/>
            <w:tcBorders>
              <w:tl2br w:val="nil"/>
              <w:tr2bl w:val="nil"/>
            </w:tcBorders>
            <w:vAlign w:val="center"/>
          </w:tcPr>
          <w:p w14:paraId="736A2B5F">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长方形边长（cm）</w:t>
            </w:r>
          </w:p>
        </w:tc>
        <w:tc>
          <w:tcPr>
            <w:tcW w:w="896" w:type="pct"/>
            <w:tcBorders>
              <w:tl2br w:val="nil"/>
              <w:tr2bl w:val="nil"/>
            </w:tcBorders>
            <w:vAlign w:val="center"/>
          </w:tcPr>
          <w:p w14:paraId="27D016C4">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190×140</w:t>
            </w:r>
          </w:p>
        </w:tc>
        <w:tc>
          <w:tcPr>
            <w:tcW w:w="896" w:type="pct"/>
            <w:tcBorders>
              <w:tl2br w:val="nil"/>
              <w:tr2bl w:val="nil"/>
            </w:tcBorders>
            <w:vAlign w:val="center"/>
          </w:tcPr>
          <w:p w14:paraId="59AE31DC">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160×120</w:t>
            </w:r>
          </w:p>
        </w:tc>
        <w:tc>
          <w:tcPr>
            <w:tcW w:w="896" w:type="pct"/>
            <w:tcBorders>
              <w:tl2br w:val="nil"/>
              <w:tr2bl w:val="nil"/>
            </w:tcBorders>
            <w:vAlign w:val="center"/>
          </w:tcPr>
          <w:p w14:paraId="02A0D747">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140×100</w:t>
            </w:r>
          </w:p>
        </w:tc>
        <w:tc>
          <w:tcPr>
            <w:tcW w:w="881" w:type="pct"/>
            <w:tcBorders>
              <w:tl2br w:val="nil"/>
              <w:tr2bl w:val="nil"/>
            </w:tcBorders>
            <w:vAlign w:val="center"/>
          </w:tcPr>
          <w:p w14:paraId="408E32A7">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34AD3EC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430" w:type="pct"/>
            <w:tcBorders>
              <w:tl2br w:val="nil"/>
              <w:tr2bl w:val="nil"/>
            </w:tcBorders>
            <w:vAlign w:val="center"/>
          </w:tcPr>
          <w:p w14:paraId="18A9A3A4">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单行线标志长方形（cm）</w:t>
            </w:r>
          </w:p>
        </w:tc>
        <w:tc>
          <w:tcPr>
            <w:tcW w:w="896" w:type="pct"/>
            <w:tcBorders>
              <w:tl2br w:val="nil"/>
              <w:tr2bl w:val="nil"/>
            </w:tcBorders>
            <w:vAlign w:val="center"/>
          </w:tcPr>
          <w:p w14:paraId="45A0F0D2">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120×60</w:t>
            </w:r>
          </w:p>
        </w:tc>
        <w:tc>
          <w:tcPr>
            <w:tcW w:w="896" w:type="pct"/>
            <w:tcBorders>
              <w:tl2br w:val="nil"/>
              <w:tr2bl w:val="nil"/>
            </w:tcBorders>
            <w:vAlign w:val="center"/>
          </w:tcPr>
          <w:p w14:paraId="2BBED326">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100×50</w:t>
            </w:r>
          </w:p>
        </w:tc>
        <w:tc>
          <w:tcPr>
            <w:tcW w:w="896" w:type="pct"/>
            <w:tcBorders>
              <w:tl2br w:val="nil"/>
              <w:tr2bl w:val="nil"/>
            </w:tcBorders>
            <w:vAlign w:val="center"/>
          </w:tcPr>
          <w:p w14:paraId="7A0D8AC7">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80×40</w:t>
            </w:r>
          </w:p>
        </w:tc>
        <w:tc>
          <w:tcPr>
            <w:tcW w:w="881" w:type="pct"/>
            <w:tcBorders>
              <w:tl2br w:val="nil"/>
              <w:tr2bl w:val="nil"/>
            </w:tcBorders>
            <w:vAlign w:val="center"/>
          </w:tcPr>
          <w:p w14:paraId="410E5877">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60×30</w:t>
            </w:r>
          </w:p>
        </w:tc>
      </w:tr>
      <w:tr w14:paraId="77D3256A">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430" w:type="pct"/>
            <w:tcBorders>
              <w:tl2br w:val="nil"/>
              <w:tr2bl w:val="nil"/>
            </w:tcBorders>
            <w:vAlign w:val="center"/>
          </w:tcPr>
          <w:p w14:paraId="15B7FEB7">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会车先行标志正方形（cm）</w:t>
            </w:r>
          </w:p>
        </w:tc>
        <w:tc>
          <w:tcPr>
            <w:tcW w:w="896" w:type="pct"/>
            <w:tcBorders>
              <w:tl2br w:val="nil"/>
              <w:tr2bl w:val="nil"/>
            </w:tcBorders>
            <w:vAlign w:val="center"/>
          </w:tcPr>
          <w:p w14:paraId="61D316EA">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896" w:type="pct"/>
            <w:tcBorders>
              <w:tl2br w:val="nil"/>
              <w:tr2bl w:val="nil"/>
            </w:tcBorders>
            <w:vAlign w:val="center"/>
          </w:tcPr>
          <w:p w14:paraId="732D9DCE">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896" w:type="pct"/>
            <w:tcBorders>
              <w:tl2br w:val="nil"/>
              <w:tr2bl w:val="nil"/>
            </w:tcBorders>
            <w:vAlign w:val="center"/>
          </w:tcPr>
          <w:p w14:paraId="73A0E7B7">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80</w:t>
            </w:r>
          </w:p>
        </w:tc>
        <w:tc>
          <w:tcPr>
            <w:tcW w:w="881" w:type="pct"/>
            <w:tcBorders>
              <w:tl2br w:val="nil"/>
              <w:tr2bl w:val="nil"/>
            </w:tcBorders>
            <w:vAlign w:val="center"/>
          </w:tcPr>
          <w:p w14:paraId="37E4A8C5">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r>
      <w:tr w14:paraId="2E6D1C0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430" w:type="pct"/>
            <w:tcBorders>
              <w:tl2br w:val="nil"/>
              <w:tr2bl w:val="nil"/>
            </w:tcBorders>
            <w:vAlign w:val="center"/>
          </w:tcPr>
          <w:p w14:paraId="31D5A2EB">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衬边宽度（cm）</w:t>
            </w:r>
          </w:p>
        </w:tc>
        <w:tc>
          <w:tcPr>
            <w:tcW w:w="896" w:type="pct"/>
            <w:tcBorders>
              <w:tl2br w:val="nil"/>
              <w:tr2bl w:val="nil"/>
            </w:tcBorders>
            <w:vAlign w:val="center"/>
          </w:tcPr>
          <w:p w14:paraId="2B8B707E">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w:t>
            </w:r>
          </w:p>
        </w:tc>
        <w:tc>
          <w:tcPr>
            <w:tcW w:w="896" w:type="pct"/>
            <w:tcBorders>
              <w:tl2br w:val="nil"/>
              <w:tr2bl w:val="nil"/>
            </w:tcBorders>
            <w:vAlign w:val="center"/>
          </w:tcPr>
          <w:p w14:paraId="3C8812F9">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0.8</w:t>
            </w:r>
          </w:p>
        </w:tc>
        <w:tc>
          <w:tcPr>
            <w:tcW w:w="896" w:type="pct"/>
            <w:tcBorders>
              <w:tl2br w:val="nil"/>
              <w:tr2bl w:val="nil"/>
            </w:tcBorders>
            <w:vAlign w:val="center"/>
          </w:tcPr>
          <w:p w14:paraId="616A348B">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0.6</w:t>
            </w:r>
          </w:p>
        </w:tc>
        <w:tc>
          <w:tcPr>
            <w:tcW w:w="881" w:type="pct"/>
            <w:tcBorders>
              <w:tl2br w:val="nil"/>
              <w:tr2bl w:val="nil"/>
            </w:tcBorders>
            <w:vAlign w:val="center"/>
          </w:tcPr>
          <w:p w14:paraId="396EF1EC">
            <w:pPr>
              <w:pStyle w:val="14"/>
              <w:shd w:val="clear" w:fill="FFFFFF" w:themeFill="background1"/>
              <w:bidi w:val="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0.4</w:t>
            </w:r>
          </w:p>
        </w:tc>
      </w:tr>
    </w:tbl>
    <w:p w14:paraId="6D123390">
      <w:pPr>
        <w:shd w:val="clear" w:fill="FFFFFF" w:themeFill="background1"/>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（5）注意交通引导人员标志</w:t>
      </w:r>
    </w:p>
    <w:p w14:paraId="0B868255">
      <w:pPr>
        <w:shd w:val="clear" w:fill="FFFFFF" w:themeFill="background1"/>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用以告示前方有交通引导人员指挥作业区路段的交通，设置于交通引导人员之前至少100m处。</w:t>
      </w:r>
    </w:p>
    <w:p w14:paraId="1CE26FC2">
      <w:pPr>
        <w:pStyle w:val="15"/>
        <w:shd w:val="clear" w:fill="FFFFFF" w:themeFill="background1"/>
        <w:bidi w:val="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drawing>
          <wp:inline distT="0" distB="0" distL="0" distR="0">
            <wp:extent cx="2564765" cy="1995170"/>
            <wp:effectExtent l="0" t="0" r="6985" b="5080"/>
            <wp:docPr id="28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7" name="图片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564765" cy="1995170"/>
                    </a:xfrm>
                    <a:prstGeom prst="rect">
                      <a:avLst/>
                    </a:prstGeom>
                    <a:noFill/>
                    <a:ln>
                      <a:noFill/>
                    </a:ln>
                  </pic:spPr>
                </pic:pic>
              </a:graphicData>
            </a:graphic>
          </wp:inline>
        </w:drawing>
      </w:r>
    </w:p>
    <w:p w14:paraId="4532543B">
      <w:pPr>
        <w:pStyle w:val="3"/>
        <w:shd w:val="clear" w:fill="FFFFFF" w:themeFill="background1"/>
        <w:bidi w:val="0"/>
        <w:rPr>
          <w:rFonts w:hint="default" w:ascii="Times New Roman" w:hAnsi="Times New Roman" w:eastAsia="宋体" w:cs="Times New Roman"/>
          <w:b/>
          <w:bCs/>
          <w:color w:val="auto"/>
          <w:kern w:val="2"/>
          <w:sz w:val="24"/>
          <w:szCs w:val="24"/>
          <w:highlight w:val="none"/>
          <w:u w:val="double"/>
          <w:lang w:val="en-US" w:eastAsia="zh-CN" w:bidi="ar-SA"/>
        </w:rPr>
      </w:pPr>
      <w:r>
        <w:rPr>
          <w:rFonts w:hint="default" w:ascii="Times New Roman" w:hAnsi="Times New Roman" w:eastAsia="宋体" w:cs="Times New Roman"/>
          <w:b/>
          <w:bCs/>
          <w:color w:val="auto"/>
          <w:kern w:val="2"/>
          <w:sz w:val="24"/>
          <w:szCs w:val="24"/>
          <w:highlight w:val="none"/>
          <w:u w:val="double"/>
          <w:lang w:val="en-US" w:eastAsia="zh-CN" w:bidi="ar-SA"/>
        </w:rPr>
        <w:t>注意交通引导人员</w:t>
      </w:r>
    </w:p>
    <w:p w14:paraId="3B3C8199">
      <w:pPr>
        <w:shd w:val="clear" w:fill="FFFFFF" w:themeFill="background1"/>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（6）标志颜色</w:t>
      </w:r>
    </w:p>
    <w:p w14:paraId="4BB5CB08">
      <w:pPr>
        <w:shd w:val="clear" w:fill="FFFFFF" w:themeFill="background1"/>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标志版的形状、图案、文字应符合《道路交通标志和标线第4部分：作业区》（GB5768.4-2017）的规定。指示标志颜色采用蓝底、白字、白图形；禁令标志采用白底、红圈、黑字；警告标志采用黄底、黑边、黑图形；文字类警告标志采用黄底、黑字、黑边框；告示标志一般采用白底、黑字、黑图形，版面中的图形标识如果需要可以采用彩色图案；辅助标志采用白底、黑字、黑图形、黑边框。</w:t>
      </w:r>
    </w:p>
    <w:p w14:paraId="2114AF89">
      <w:pPr>
        <w:shd w:val="clear" w:fill="FFFFFF" w:themeFill="background1"/>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（7）标志设置位置除满足前置距离和视认性要求外，还应符合下列要求</w:t>
      </w:r>
      <w:r>
        <w:rPr>
          <w:rFonts w:hint="default" w:ascii="Times New Roman" w:hAnsi="Times New Roman" w:eastAsia="宋体" w:cs="Times New Roman"/>
          <w:color w:val="auto"/>
          <w:highlight w:val="none"/>
          <w:lang w:eastAsia="zh-CN"/>
        </w:rPr>
        <w:t>：</w:t>
      </w:r>
    </w:p>
    <w:p w14:paraId="2B324F0E">
      <w:pPr>
        <w:shd w:val="clear" w:fill="FFFFFF" w:themeFill="background1"/>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不得影响道路的停车视距和妨碍交通安全；不宜紧靠沿街建筑物的门窗前及车辆出人口前；与沿街建筑物宜保持1m以上的侧向距离；不得被上跨道路结构、照明设施、监控设施、广告构筑物以及树木等遮挡；不应影响其他交通设施。</w:t>
      </w:r>
    </w:p>
    <w:p w14:paraId="424641B0">
      <w:pPr>
        <w:shd w:val="clear" w:fill="FFFFFF" w:themeFill="background1"/>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（8）不同种类的标志不宜并列设置，当受条件限制需并列设置时，应符合下列规定：</w:t>
      </w:r>
    </w:p>
    <w:p w14:paraId="2CA7A40C">
      <w:pPr>
        <w:shd w:val="clear" w:fill="FFFFFF" w:themeFill="background1"/>
        <w:ind w:firstLine="482"/>
        <w:rPr>
          <w:rFonts w:hint="default" w:ascii="Times New Roman" w:hAnsi="Times New Roman" w:eastAsia="宋体" w:cs="Times New Roman"/>
          <w:color w:val="auto"/>
          <w:highlight w:val="none"/>
        </w:rPr>
      </w:pPr>
      <w:r>
        <w:rPr>
          <w:rFonts w:hint="default" w:ascii="Times New Roman" w:hAnsi="Times New Roman" w:eastAsia="宋体" w:cs="Times New Roman"/>
          <w:b/>
          <w:bCs/>
          <w:color w:val="auto"/>
          <w:highlight w:val="none"/>
        </w:rPr>
        <w:t>安装在同一支撑结构上标志不应超过4个，并应按禁令、指示、警告的顺序，先上后下、先左后右排列；</w:t>
      </w:r>
      <w:r>
        <w:rPr>
          <w:rFonts w:hint="default" w:ascii="Times New Roman" w:hAnsi="Times New Roman" w:eastAsia="宋体" w:cs="Times New Roman"/>
          <w:color w:val="auto"/>
          <w:highlight w:val="none"/>
        </w:rPr>
        <w:t>同类标志的设置顺序，应按提示信息的重要程度排列；停车让行标志、减速让行标志、会车让行标志、解除限制速度标志、解除禁止超车标志应单独设置，当条件限制需并列设置时，同一支撑结构上标志不应超过2个；</w:t>
      </w:r>
    </w:p>
    <w:p w14:paraId="1EB261B4">
      <w:pPr>
        <w:shd w:val="clear" w:fill="FFFFFF" w:themeFill="background1"/>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9）位于路侧的各类标志板边缘及标志支撑结构边缘至车行道路面边缘的侧向距离，应大于或等于0.25m；位于路侧的柱式标志板下缘距路面的高度宜为1.5m~2.5m；当设置在小客车比例较大的道路时，标志板下缘距路面的高度可根据实际情况减小，但不宜小于1.2m；当设置在人行道、非机动车道的路侧时，标志板下缘距路面的高度应大于1.8m。</w:t>
      </w:r>
    </w:p>
    <w:p w14:paraId="344EEB2D">
      <w:pPr>
        <w:pStyle w:val="2"/>
        <w:numPr>
          <w:ilvl w:val="1"/>
          <w:numId w:val="2"/>
        </w:numPr>
        <w:shd w:val="clear" w:fill="FFFFFF" w:themeFill="background1"/>
        <w:bidi w:val="0"/>
        <w:rPr>
          <w:rFonts w:hint="default" w:ascii="Times New Roman" w:hAnsi="Times New Roman" w:eastAsia="宋体" w:cs="Times New Roman"/>
          <w:color w:val="auto"/>
          <w:highlight w:val="none"/>
        </w:rPr>
      </w:pPr>
      <w:bookmarkStart w:id="1" w:name="_Toc49524366"/>
      <w:bookmarkStart w:id="2" w:name="_Toc12058"/>
      <w:bookmarkStart w:id="3" w:name="_Toc20555"/>
      <w:r>
        <w:rPr>
          <w:rFonts w:hint="default" w:ascii="Times New Roman" w:hAnsi="Times New Roman" w:eastAsia="宋体" w:cs="Times New Roman"/>
          <w:color w:val="auto"/>
          <w:highlight w:val="none"/>
        </w:rPr>
        <w:t>交通标线设置要求</w:t>
      </w:r>
      <w:bookmarkEnd w:id="1"/>
      <w:bookmarkEnd w:id="2"/>
      <w:bookmarkEnd w:id="3"/>
    </w:p>
    <w:p w14:paraId="217E32F3">
      <w:pPr>
        <w:shd w:val="clear" w:fill="FFFFFF" w:themeFill="background1"/>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（1）用于施划道路交通标线的涂料，应符合下列要求：</w:t>
      </w:r>
    </w:p>
    <w:p w14:paraId="60502E39">
      <w:pPr>
        <w:shd w:val="clear" w:fill="FFFFFF" w:themeFill="background1"/>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应具有抗滑性能，不宜低于所在道路路面的抗滑要求；应具有耐磨性能</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保证正常的使用寿命；应具有可视性，具备良好的反射能力，白天、夜间及雨天视认性符合要求；干燥时间应短，操作应简单，利于施工；应具有良好的环保性能。</w:t>
      </w:r>
    </w:p>
    <w:p w14:paraId="47AE0084">
      <w:pPr>
        <w:shd w:val="clear" w:fill="FFFFFF" w:themeFill="background1"/>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（2）禁止跨越对向车行道分界线的颜色应为黄色。</w:t>
      </w:r>
      <w:r>
        <w:rPr>
          <w:rFonts w:hint="default" w:ascii="Times New Roman" w:hAnsi="Times New Roman" w:eastAsia="宋体" w:cs="Times New Roman"/>
          <w:color w:val="auto"/>
          <w:highlight w:val="none"/>
          <w:lang w:val="en-US" w:eastAsia="zh-CN"/>
        </w:rPr>
        <w:t>一般路段</w:t>
      </w:r>
      <w:r>
        <w:rPr>
          <w:rFonts w:hint="default" w:ascii="Times New Roman" w:hAnsi="Times New Roman" w:eastAsia="宋体" w:cs="Times New Roman"/>
          <w:color w:val="auto"/>
          <w:highlight w:val="none"/>
        </w:rPr>
        <w:t>线宽为15cm</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交通量较小的农村公路线宽可为</w:t>
      </w:r>
      <w:r>
        <w:rPr>
          <w:rFonts w:hint="default" w:ascii="Times New Roman" w:hAnsi="Times New Roman" w:eastAsia="宋体" w:cs="Times New Roman"/>
          <w:color w:val="auto"/>
          <w:highlight w:val="none"/>
        </w:rPr>
        <w:t>1</w:t>
      </w:r>
      <w:r>
        <w:rPr>
          <w:rFonts w:hint="default" w:ascii="Times New Roman" w:hAnsi="Times New Roman" w:eastAsia="宋体" w:cs="Times New Roman"/>
          <w:color w:val="auto"/>
          <w:highlight w:val="none"/>
          <w:lang w:val="en-US" w:eastAsia="zh-CN"/>
        </w:rPr>
        <w:t>0</w:t>
      </w:r>
      <w:r>
        <w:rPr>
          <w:rFonts w:hint="default" w:ascii="Times New Roman" w:hAnsi="Times New Roman" w:eastAsia="宋体" w:cs="Times New Roman"/>
          <w:color w:val="auto"/>
          <w:highlight w:val="none"/>
        </w:rPr>
        <w:t>cm。双黄实线和黄色虚实线，标线线间距宜为10cm~30cm；当双黄实线间距大于50cm时，两条黄实线间应填充黄色斜线，黄色斜线填充线线宽应为45cm，间隔应为100cm，倾斜角度应为45°，斜线方向应为顺两侧行车方向。</w:t>
      </w:r>
    </w:p>
    <w:p w14:paraId="38EB640E">
      <w:pPr>
        <w:shd w:val="clear" w:fill="FFFFFF" w:themeFill="background1"/>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（3）禁止跨越同向车行道分界线的颜色应为白色。</w:t>
      </w:r>
      <w:r>
        <w:rPr>
          <w:rFonts w:hint="default" w:ascii="Times New Roman" w:hAnsi="Times New Roman" w:eastAsia="宋体" w:cs="Times New Roman"/>
          <w:color w:val="auto"/>
          <w:highlight w:val="none"/>
          <w:lang w:val="en-US" w:eastAsia="zh-CN"/>
        </w:rPr>
        <w:t>一般路段</w:t>
      </w:r>
      <w:r>
        <w:rPr>
          <w:rFonts w:hint="default" w:ascii="Times New Roman" w:hAnsi="Times New Roman" w:eastAsia="宋体" w:cs="Times New Roman"/>
          <w:color w:val="auto"/>
          <w:highlight w:val="none"/>
        </w:rPr>
        <w:t>线宽为15cm</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交通量较小的农村公路线宽可为</w:t>
      </w:r>
      <w:r>
        <w:rPr>
          <w:rFonts w:hint="default" w:ascii="Times New Roman" w:hAnsi="Times New Roman" w:eastAsia="宋体" w:cs="Times New Roman"/>
          <w:color w:val="auto"/>
          <w:highlight w:val="none"/>
        </w:rPr>
        <w:t>1</w:t>
      </w:r>
      <w:r>
        <w:rPr>
          <w:rFonts w:hint="default" w:ascii="Times New Roman" w:hAnsi="Times New Roman" w:eastAsia="宋体" w:cs="Times New Roman"/>
          <w:color w:val="auto"/>
          <w:highlight w:val="none"/>
          <w:lang w:val="en-US" w:eastAsia="zh-CN"/>
        </w:rPr>
        <w:t>0</w:t>
      </w:r>
      <w:r>
        <w:rPr>
          <w:rFonts w:hint="default" w:ascii="Times New Roman" w:hAnsi="Times New Roman" w:eastAsia="宋体" w:cs="Times New Roman"/>
          <w:color w:val="auto"/>
          <w:highlight w:val="none"/>
        </w:rPr>
        <w:t>cm。</w:t>
      </w:r>
    </w:p>
    <w:p w14:paraId="4EE40802">
      <w:pPr>
        <w:shd w:val="clear" w:fill="FFFFFF" w:themeFill="background1"/>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（4）可跨越对向车行道分界线应采用黄色虚线，线宽宜为15cm，交通流量非常小等特殊情况线宽可采用10cm，线段及间隔长度应分别为4m和6m。</w:t>
      </w:r>
    </w:p>
    <w:p w14:paraId="78EC4283">
      <w:pPr>
        <w:shd w:val="clear" w:fill="FFFFFF" w:themeFill="background1"/>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（5）可跨越同向车行道分界线应采用白色虚线，</w:t>
      </w:r>
      <w:r>
        <w:rPr>
          <w:rFonts w:hint="default" w:ascii="Times New Roman" w:hAnsi="Times New Roman" w:eastAsia="宋体" w:cs="Times New Roman"/>
          <w:color w:val="auto"/>
          <w:highlight w:val="none"/>
          <w:lang w:val="en-US" w:eastAsia="zh-CN"/>
        </w:rPr>
        <w:t>一般路段</w:t>
      </w:r>
      <w:r>
        <w:rPr>
          <w:rFonts w:hint="default" w:ascii="Times New Roman" w:hAnsi="Times New Roman" w:eastAsia="宋体" w:cs="Times New Roman"/>
          <w:color w:val="auto"/>
          <w:highlight w:val="none"/>
        </w:rPr>
        <w:t>线宽为15cm</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交通量较小的农村公路线宽可为</w:t>
      </w:r>
      <w:r>
        <w:rPr>
          <w:rFonts w:hint="default" w:ascii="Times New Roman" w:hAnsi="Times New Roman" w:eastAsia="宋体" w:cs="Times New Roman"/>
          <w:color w:val="auto"/>
          <w:highlight w:val="none"/>
        </w:rPr>
        <w:t>1</w:t>
      </w:r>
      <w:r>
        <w:rPr>
          <w:rFonts w:hint="default" w:ascii="Times New Roman" w:hAnsi="Times New Roman" w:eastAsia="宋体" w:cs="Times New Roman"/>
          <w:color w:val="auto"/>
          <w:highlight w:val="none"/>
          <w:lang w:val="en-US" w:eastAsia="zh-CN"/>
        </w:rPr>
        <w:t>0</w:t>
      </w:r>
      <w:r>
        <w:rPr>
          <w:rFonts w:hint="default" w:ascii="Times New Roman" w:hAnsi="Times New Roman" w:eastAsia="宋体" w:cs="Times New Roman"/>
          <w:color w:val="auto"/>
          <w:highlight w:val="none"/>
        </w:rPr>
        <w:t>cm。当设计速度大于或等于60km/h，线段及间隔长度应分别为6m和9m；当设计速度小于60km/h，线段及间隔长度应分别为2m和4m。</w:t>
      </w:r>
    </w:p>
    <w:p w14:paraId="4B2684D8">
      <w:pPr>
        <w:shd w:val="clear" w:fill="FFFFFF" w:themeFill="background1"/>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（6）路口导向线应采用虚线，线宽应为15cm，线段及间隔长度均应为2m。连接对向车行道分界线应采用黄色虚线，连接同向车行道分界线或机非分界线的应采用白色虚线。</w:t>
      </w:r>
    </w:p>
    <w:p w14:paraId="6A707AA2">
      <w:pPr>
        <w:shd w:val="clear" w:fill="FFFFFF" w:themeFill="background1"/>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7）导向箭头指示方向应包括：直行、直行或左转、左转、右转、直行或右转、掉头、直行或掉头、左转或掉头、左转或右转、左弯或向左合流，右弯或向右合流、直行、左转或右转。车辆的行驶方向应遵循导向箭头的指示；导向箭头指示方向应与禁止标志相匹配。导向箭头的颜色应采用白色。根据本项目占用道路实际情况，导向箭头长度可设置为4.5m导向箭头，重复设置次数为2~3次，间距30~50m。</w:t>
      </w:r>
    </w:p>
    <w:p w14:paraId="4D97E14F"/>
    <w:p w14:paraId="259FC53C">
      <w:pPr>
        <w:pStyle w:val="13"/>
        <w:shd w:val="clear" w:color="auto" w:fill="auto"/>
        <w:tabs>
          <w:tab w:val="left" w:pos="590"/>
        </w:tabs>
        <w:spacing w:line="540" w:lineRule="exact"/>
        <w:ind w:firstLine="600" w:firstLineChars="200"/>
        <w:jc w:val="both"/>
        <w:rPr>
          <w:rFonts w:hint="eastAsia" w:asciiTheme="minorEastAsia" w:hAnsiTheme="minorEastAsia" w:eastAsiaTheme="minorEastAsia" w:cstheme="minorEastAsia"/>
        </w:rPr>
      </w:pPr>
    </w:p>
    <w:p w14:paraId="51DE3F3F">
      <w:pPr>
        <w:pStyle w:val="13"/>
        <w:shd w:val="clear" w:color="auto" w:fill="auto"/>
        <w:tabs>
          <w:tab w:val="left" w:pos="590"/>
        </w:tabs>
        <w:spacing w:line="540" w:lineRule="exact"/>
        <w:ind w:firstLine="600"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原招标文件报名、开标时间等其他要求不变，具体请各投标人登陆系统自行下载变更后招标文件。</w:t>
      </w:r>
    </w:p>
    <w:p w14:paraId="52240E3A">
      <w:pPr>
        <w:pStyle w:val="13"/>
        <w:shd w:val="clear" w:color="auto" w:fill="auto"/>
        <w:tabs>
          <w:tab w:val="left" w:pos="590"/>
        </w:tabs>
        <w:spacing w:line="540" w:lineRule="exact"/>
        <w:ind w:firstLine="600"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注：凡原招标文件与上述内容不一致的以本此补遗公告为准。本次补遗澄清公告内容视同招标文件的组成部分，与招标文件具有同等法律效力。</w:t>
      </w:r>
    </w:p>
    <w:p w14:paraId="5B97E847">
      <w:pPr>
        <w:pStyle w:val="13"/>
        <w:shd w:val="clear" w:color="auto" w:fill="auto"/>
        <w:tabs>
          <w:tab w:val="left" w:pos="590"/>
        </w:tabs>
        <w:spacing w:line="540" w:lineRule="exact"/>
        <w:ind w:firstLine="600"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各投标单位如有疑义，请咨询安徽省路桥工程集团有限责任公司。</w:t>
      </w:r>
    </w:p>
    <w:p w14:paraId="7B290B4B">
      <w:pPr>
        <w:pStyle w:val="13"/>
        <w:shd w:val="clear" w:color="auto" w:fill="auto"/>
        <w:tabs>
          <w:tab w:val="left" w:pos="590"/>
        </w:tabs>
        <w:spacing w:line="540" w:lineRule="exact"/>
        <w:ind w:firstLine="600" w:firstLineChars="20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咨询电话：0551-65869346</w:t>
      </w:r>
    </w:p>
    <w:p w14:paraId="31AE82B2">
      <w:pPr>
        <w:pStyle w:val="13"/>
        <w:shd w:val="clear" w:color="auto" w:fill="auto"/>
        <w:tabs>
          <w:tab w:val="left" w:pos="590"/>
        </w:tabs>
        <w:spacing w:line="540" w:lineRule="exact"/>
        <w:ind w:firstLine="600" w:firstLineChars="200"/>
        <w:jc w:val="both"/>
        <w:rPr>
          <w:rFonts w:hint="eastAsia" w:asciiTheme="minorEastAsia" w:hAnsiTheme="minorEastAsia" w:eastAsiaTheme="minorEastAsia" w:cstheme="minorEastAsia"/>
          <w:b/>
          <w:sz w:val="22"/>
        </w:rPr>
      </w:pPr>
      <w:r>
        <w:rPr>
          <w:rFonts w:hint="eastAsia" w:asciiTheme="minorEastAsia" w:hAnsiTheme="minorEastAsia" w:eastAsiaTheme="minorEastAsia" w:cstheme="minorEastAsia"/>
        </w:rPr>
        <w:t>我们对招投标过程中给您带来的不便深表歉意，并感谢您对我们工作的理解和支持。</w:t>
      </w:r>
    </w:p>
    <w:p w14:paraId="55985AD3">
      <w:pPr>
        <w:pStyle w:val="13"/>
        <w:shd w:val="clear" w:color="auto" w:fill="auto"/>
        <w:spacing w:after="126" w:line="360" w:lineRule="exact"/>
        <w:jc w:val="left"/>
        <w:rPr>
          <w:rFonts w:hint="eastAsia" w:asciiTheme="minorEastAsia" w:hAnsiTheme="minorEastAsia" w:cstheme="minorEastAsia"/>
          <w:spacing w:val="20"/>
          <w:sz w:val="26"/>
          <w:szCs w:val="26"/>
        </w:rPr>
      </w:pPr>
      <w:r>
        <w:rPr>
          <w:rFonts w:hint="eastAsia" w:asciiTheme="minorEastAsia" w:hAnsiTheme="minorEastAsia" w:eastAsiaTheme="minorEastAsia" w:cstheme="minorEastAsia"/>
          <w:b/>
          <w:sz w:val="22"/>
        </w:rPr>
        <w:t>注：此补遗及澄清内容视同招标文件的组成部分，与招标文件具有同等法律效力。投标人应将此招标补遗及澄清公告按要求装订在投标文件中。</w:t>
      </w:r>
    </w:p>
    <w:p w14:paraId="6BE0A1FC">
      <w:pPr>
        <w:spacing w:line="500" w:lineRule="exact"/>
        <w:jc w:val="right"/>
        <w:rPr>
          <w:rFonts w:hint="eastAsia" w:asciiTheme="minorEastAsia" w:hAnsiTheme="minorEastAsia" w:cstheme="minorEastAsia"/>
          <w:spacing w:val="20"/>
          <w:sz w:val="26"/>
          <w:szCs w:val="26"/>
        </w:rPr>
      </w:pPr>
      <w:r>
        <w:rPr>
          <w:rFonts w:hint="eastAsia" w:asciiTheme="minorEastAsia" w:hAnsiTheme="minorEastAsia" w:cstheme="minorEastAsia"/>
          <w:spacing w:val="20"/>
          <w:sz w:val="26"/>
          <w:szCs w:val="26"/>
        </w:rPr>
        <w:t>S20长丰至固始高速公路霍邱至皖豫界段02标项目</w:t>
      </w:r>
    </w:p>
    <w:p w14:paraId="16EC9C53">
      <w:pPr>
        <w:spacing w:line="500" w:lineRule="exact"/>
        <w:jc w:val="right"/>
        <w:rPr>
          <w:rFonts w:asciiTheme="minorEastAsia" w:hAnsiTheme="minorEastAsia" w:cstheme="minorEastAsia"/>
          <w:spacing w:val="20"/>
          <w:sz w:val="26"/>
          <w:szCs w:val="26"/>
        </w:rPr>
      </w:pPr>
      <w:r>
        <w:rPr>
          <w:rFonts w:hint="eastAsia" w:asciiTheme="minorEastAsia" w:hAnsiTheme="minorEastAsia" w:cstheme="minorEastAsia"/>
          <w:spacing w:val="20"/>
          <w:sz w:val="26"/>
          <w:szCs w:val="26"/>
        </w:rPr>
        <w:t>项目经理部</w:t>
      </w:r>
    </w:p>
    <w:p w14:paraId="327A4BE5">
      <w:pPr>
        <w:spacing w:line="500" w:lineRule="exact"/>
        <w:jc w:val="right"/>
        <w:rPr>
          <w:rFonts w:asciiTheme="minorEastAsia" w:hAnsiTheme="minorEastAsia" w:cstheme="minorEastAsia"/>
          <w:spacing w:val="20"/>
          <w:sz w:val="26"/>
          <w:szCs w:val="26"/>
        </w:rPr>
      </w:pPr>
      <w:r>
        <w:rPr>
          <w:rFonts w:hint="eastAsia" w:asciiTheme="minorEastAsia" w:hAnsiTheme="minorEastAsia" w:cstheme="minorEastAsia"/>
          <w:spacing w:val="20"/>
          <w:sz w:val="26"/>
          <w:szCs w:val="26"/>
        </w:rPr>
        <w:t>2</w:t>
      </w:r>
      <w:r>
        <w:rPr>
          <w:rFonts w:asciiTheme="minorEastAsia" w:hAnsiTheme="minorEastAsia" w:cstheme="minorEastAsia"/>
          <w:spacing w:val="20"/>
          <w:sz w:val="26"/>
          <w:szCs w:val="26"/>
        </w:rPr>
        <w:t>02</w:t>
      </w:r>
      <w:r>
        <w:rPr>
          <w:rFonts w:hint="eastAsia" w:asciiTheme="minorEastAsia" w:hAnsiTheme="minorEastAsia" w:cstheme="minorEastAsia"/>
          <w:spacing w:val="20"/>
          <w:sz w:val="26"/>
          <w:szCs w:val="26"/>
          <w:lang w:val="en-US" w:eastAsia="zh-CN"/>
        </w:rPr>
        <w:t>6</w:t>
      </w:r>
      <w:r>
        <w:rPr>
          <w:rFonts w:hint="eastAsia" w:asciiTheme="minorEastAsia" w:hAnsiTheme="minorEastAsia" w:cstheme="minorEastAsia"/>
          <w:spacing w:val="20"/>
          <w:sz w:val="26"/>
          <w:szCs w:val="26"/>
        </w:rPr>
        <w:t>年</w:t>
      </w:r>
      <w:r>
        <w:rPr>
          <w:rFonts w:hint="eastAsia" w:asciiTheme="minorEastAsia" w:hAnsiTheme="minorEastAsia" w:cstheme="minorEastAsia"/>
          <w:spacing w:val="20"/>
          <w:sz w:val="26"/>
          <w:szCs w:val="26"/>
          <w:lang w:val="en-US" w:eastAsia="zh-CN"/>
        </w:rPr>
        <w:t>7</w:t>
      </w:r>
      <w:r>
        <w:rPr>
          <w:rFonts w:hint="eastAsia" w:asciiTheme="minorEastAsia" w:hAnsiTheme="minorEastAsia" w:cstheme="minorEastAsia"/>
          <w:spacing w:val="20"/>
          <w:sz w:val="26"/>
          <w:szCs w:val="26"/>
        </w:rPr>
        <w:t>月</w:t>
      </w:r>
      <w:bookmarkStart w:id="4" w:name="_GoBack"/>
      <w:r>
        <w:rPr>
          <w:rFonts w:hint="eastAsia" w:asciiTheme="minorEastAsia" w:hAnsiTheme="minorEastAsia" w:cstheme="minorEastAsia"/>
          <w:spacing w:val="20"/>
          <w:sz w:val="26"/>
          <w:szCs w:val="26"/>
          <w:lang w:val="en-US" w:eastAsia="zh-CN"/>
        </w:rPr>
        <w:t>2</w:t>
      </w:r>
      <w:bookmarkEnd w:id="4"/>
      <w:r>
        <w:rPr>
          <w:rFonts w:hint="eastAsia" w:asciiTheme="minorEastAsia" w:hAnsiTheme="minorEastAsia" w:cstheme="minorEastAsia"/>
          <w:spacing w:val="20"/>
          <w:sz w:val="26"/>
          <w:szCs w:val="26"/>
          <w:lang w:val="en-US" w:eastAsia="zh-CN"/>
        </w:rPr>
        <w:t>8</w:t>
      </w:r>
      <w:r>
        <w:rPr>
          <w:rFonts w:hint="eastAsia" w:asciiTheme="minorEastAsia" w:hAnsiTheme="minorEastAsia" w:cstheme="minorEastAsia"/>
          <w:spacing w:val="20"/>
          <w:sz w:val="26"/>
          <w:szCs w:val="26"/>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Microsoft JhengHei"/>
    <w:panose1 w:val="02010601000101010101"/>
    <w:charset w:val="88"/>
    <w:family w:val="roman"/>
    <w:pitch w:val="default"/>
    <w:sig w:usb0="00000000" w:usb1="00000000" w:usb2="00000016" w:usb3="00000000" w:csb0="00100001" w:csb1="00000000"/>
  </w:font>
  <w:font w:name="Microsoft JhengHei">
    <w:panose1 w:val="020B0604030504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C2E562"/>
    <w:multiLevelType w:val="multilevel"/>
    <w:tmpl w:val="A7C2E562"/>
    <w:lvl w:ilvl="0" w:tentative="0">
      <w:start w:val="1"/>
      <w:numFmt w:val="chineseCountingThousand"/>
      <w:suff w:val="space"/>
      <w:lvlText w:val="第%1章"/>
      <w:lvlJc w:val="center"/>
      <w:pPr>
        <w:ind w:left="0" w:firstLine="0"/>
      </w:pPr>
      <w:rPr>
        <w:rFonts w:hint="eastAsia"/>
      </w:rPr>
    </w:lvl>
    <w:lvl w:ilvl="1" w:tentative="0">
      <w:start w:val="1"/>
      <w:numFmt w:val="decimal"/>
      <w:isLgl/>
      <w:suff w:val="space"/>
      <w:lvlText w:val="%1.%2"/>
      <w:lvlJc w:val="left"/>
      <w:pPr>
        <w:ind w:left="0" w:firstLine="0"/>
      </w:pPr>
      <w:rPr>
        <w:rFonts w:hint="default"/>
        <w:sz w:val="36"/>
        <w:szCs w:val="36"/>
      </w:rPr>
    </w:lvl>
    <w:lvl w:ilvl="2" w:tentative="0">
      <w:start w:val="1"/>
      <w:numFmt w:val="decimal"/>
      <w:isLgl/>
      <w:suff w:val="space"/>
      <w:lvlText w:val="%1.%2.%3"/>
      <w:lvlJc w:val="left"/>
      <w:pPr>
        <w:ind w:left="0" w:firstLine="0"/>
      </w:pPr>
      <w:rPr>
        <w:rFonts w:hint="eastAsia"/>
      </w:rPr>
    </w:lvl>
    <w:lvl w:ilvl="3" w:tentative="0">
      <w:start w:val="1"/>
      <w:numFmt w:val="decimal"/>
      <w:isLgl/>
      <w:suff w:val="nothing"/>
      <w:lvlText w:val="%1.%2.%3.%4"/>
      <w:lvlJc w:val="left"/>
      <w:pPr>
        <w:ind w:left="0" w:firstLine="0"/>
      </w:pPr>
      <w:rPr>
        <w:rFonts w:hint="eastAsia"/>
        <w:b/>
        <w:bCs/>
        <w:i w:val="0"/>
        <w:iCs w:val="0"/>
        <w:caps w:val="0"/>
        <w:smallCaps w:val="0"/>
        <w:strike w:val="0"/>
        <w:dstrike w:val="0"/>
        <w:vanish w:val="0"/>
        <w:spacing w:val="0"/>
        <w:position w:val="0"/>
        <w:u w:val="none"/>
        <w:vertAlign w:val="baseline"/>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14DA0A45"/>
    <w:multiLevelType w:val="multilevel"/>
    <w:tmpl w:val="14DA0A45"/>
    <w:lvl w:ilvl="0" w:tentative="0">
      <w:start w:val="1"/>
      <w:numFmt w:val="chineseCounting"/>
      <w:lvlText w:val="第%1章 "/>
      <w:lvlJc w:val="left"/>
      <w:pPr>
        <w:ind w:left="1280" w:hanging="440"/>
      </w:pPr>
      <w:rPr>
        <w:rFonts w:hint="eastAsia"/>
        <w:b/>
        <w:bCs w:val="0"/>
        <w:i w:val="0"/>
        <w:iCs/>
        <w:color w:val="auto"/>
      </w:rPr>
    </w:lvl>
    <w:lvl w:ilvl="1" w:tentative="0">
      <w:start w:val="1"/>
      <w:numFmt w:val="none"/>
      <w:pStyle w:val="2"/>
      <w:lvlText w:val="一、"/>
      <w:lvlJc w:val="left"/>
      <w:pPr>
        <w:ind w:left="0" w:firstLine="0"/>
      </w:pPr>
      <w:rPr>
        <w:rFonts w:hint="eastAsia"/>
      </w:rPr>
    </w:lvl>
    <w:lvl w:ilvl="2" w:tentative="0">
      <w:start w:val="1"/>
      <w:numFmt w:val="none"/>
      <w:lvlText w:val="（一）、"/>
      <w:lvlJc w:val="left"/>
      <w:pPr>
        <w:ind w:left="0" w:firstLine="0"/>
      </w:pPr>
      <w:rPr>
        <w:rFonts w:hint="eastAsia"/>
      </w:rPr>
    </w:lvl>
    <w:lvl w:ilvl="3" w:tentative="0">
      <w:start w:val="1"/>
      <w:numFmt w:val="decimal"/>
      <w:lvlText w:val="%4"/>
      <w:lvlJc w:val="left"/>
      <w:pPr>
        <w:ind w:left="0" w:firstLine="0"/>
      </w:pPr>
      <w:rPr>
        <w:rFonts w:hint="eastAsia" w:ascii="Calibri" w:hAnsi="Calibri" w:cs="Calibri"/>
      </w:rPr>
    </w:lvl>
    <w:lvl w:ilvl="4" w:tentative="0">
      <w:start w:val="1"/>
      <w:numFmt w:val="decimalFullWidth"/>
      <w:lvlText w:val="%5、"/>
      <w:lvlJc w:val="left"/>
      <w:pPr>
        <w:ind w:left="0" w:firstLine="0"/>
      </w:pPr>
      <w:rPr>
        <w:rFonts w:hint="eastAsia"/>
      </w:rPr>
    </w:lvl>
    <w:lvl w:ilvl="5" w:tentative="0">
      <w:start w:val="1"/>
      <w:numFmt w:val="decimalFullWidth"/>
      <w:lvlText w:val="%6)"/>
      <w:lvlJc w:val="left"/>
      <w:pPr>
        <w:tabs>
          <w:tab w:val="left" w:pos="420"/>
        </w:tabs>
        <w:ind w:left="0" w:firstLine="0"/>
      </w:pPr>
      <w:rPr>
        <w:rFonts w:hint="eastAsia"/>
      </w:rPr>
    </w:lvl>
    <w:lvl w:ilvl="6" w:tentative="0">
      <w:start w:val="1"/>
      <w:numFmt w:val="lowerLetter"/>
      <w:suff w:val="nothing"/>
      <w:lvlText w:val="%7. "/>
      <w:lvlJc w:val="left"/>
      <w:pPr>
        <w:tabs>
          <w:tab w:val="left" w:pos="420"/>
        </w:tabs>
        <w:ind w:left="0" w:firstLine="0"/>
      </w:pPr>
      <w:rPr>
        <w:rFonts w:hint="eastAsia"/>
      </w:rPr>
    </w:lvl>
    <w:lvl w:ilvl="7" w:tentative="0">
      <w:start w:val="1"/>
      <w:numFmt w:val="lowerLetter"/>
      <w:lvlText w:val="%8) "/>
      <w:lvlJc w:val="left"/>
      <w:pPr>
        <w:ind w:left="0" w:firstLine="0"/>
      </w:pPr>
      <w:rPr>
        <w:rFonts w:hint="eastAsia"/>
      </w:rPr>
    </w:lvl>
    <w:lvl w:ilvl="8" w:tentative="0">
      <w:start w:val="1"/>
      <w:numFmt w:val="upperRoman"/>
      <w:lvlText w:val="%9."/>
      <w:lvlJc w:val="left"/>
      <w:pPr>
        <w:ind w:left="0" w:firstLine="0"/>
      </w:pPr>
      <w:rPr>
        <w:rFonts w:hint="eastAsia"/>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342E0"/>
    <w:rsid w:val="0007605C"/>
    <w:rsid w:val="000917E6"/>
    <w:rsid w:val="00140877"/>
    <w:rsid w:val="001439BA"/>
    <w:rsid w:val="00231C77"/>
    <w:rsid w:val="00286ECE"/>
    <w:rsid w:val="00307C38"/>
    <w:rsid w:val="00374B6B"/>
    <w:rsid w:val="004545D6"/>
    <w:rsid w:val="005B1683"/>
    <w:rsid w:val="005B1A00"/>
    <w:rsid w:val="007A094D"/>
    <w:rsid w:val="00907277"/>
    <w:rsid w:val="00970D10"/>
    <w:rsid w:val="00991EEC"/>
    <w:rsid w:val="00A030A5"/>
    <w:rsid w:val="00A712CF"/>
    <w:rsid w:val="00AB6EFD"/>
    <w:rsid w:val="00AC70EB"/>
    <w:rsid w:val="00C328A7"/>
    <w:rsid w:val="00CE1B70"/>
    <w:rsid w:val="00CF7839"/>
    <w:rsid w:val="00E07BE8"/>
    <w:rsid w:val="00E342E0"/>
    <w:rsid w:val="00EF7526"/>
    <w:rsid w:val="123D1A79"/>
    <w:rsid w:val="13AB57BF"/>
    <w:rsid w:val="13CF7C51"/>
    <w:rsid w:val="39043BF6"/>
    <w:rsid w:val="3A042EE2"/>
    <w:rsid w:val="4471306D"/>
    <w:rsid w:val="55B031C1"/>
    <w:rsid w:val="67E56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numPr>
        <w:ilvl w:val="1"/>
        <w:numId w:val="1"/>
      </w:numPr>
      <w:spacing w:before="80" w:beforeLines="80" w:after="40" w:afterLines="40" w:line="360" w:lineRule="auto"/>
      <w:ind w:firstLine="0" w:firstLineChars="0"/>
      <w:outlineLvl w:val="1"/>
    </w:pPr>
    <w:rPr>
      <w:rFonts w:ascii="宋体" w:hAnsi="宋体" w:cs="Times New Roman"/>
      <w:b/>
      <w:color w:val="C2910E"/>
      <w:sz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99"/>
    <w:pPr>
      <w:ind w:firstLine="0" w:firstLineChars="0"/>
      <w:jc w:val="center"/>
      <w:textAlignment w:val="auto"/>
    </w:pPr>
    <w:rPr>
      <w:rFonts w:eastAsia="仿宋"/>
      <w:b/>
      <w:bCs/>
      <w:sz w:val="24"/>
      <w:szCs w:val="21"/>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rPr>
  </w:style>
  <w:style w:type="paragraph" w:styleId="9">
    <w:name w:val="List Paragraph"/>
    <w:basedOn w:val="1"/>
    <w:qFormat/>
    <w:uiPriority w:val="34"/>
    <w:pPr>
      <w:ind w:firstLine="420" w:firstLineChars="200"/>
    </w:pPr>
  </w:style>
  <w:style w:type="character" w:customStyle="1" w:styleId="10">
    <w:name w:val="页眉 字符"/>
    <w:basedOn w:val="7"/>
    <w:link w:val="5"/>
    <w:qFormat/>
    <w:uiPriority w:val="99"/>
    <w:rPr>
      <w:sz w:val="18"/>
      <w:szCs w:val="18"/>
    </w:rPr>
  </w:style>
  <w:style w:type="character" w:customStyle="1" w:styleId="11">
    <w:name w:val="页脚 字符"/>
    <w:basedOn w:val="7"/>
    <w:link w:val="4"/>
    <w:qFormat/>
    <w:uiPriority w:val="99"/>
    <w:rPr>
      <w:sz w:val="18"/>
      <w:szCs w:val="18"/>
    </w:rPr>
  </w:style>
  <w:style w:type="character" w:customStyle="1" w:styleId="12">
    <w:name w:val="Body text|2_"/>
    <w:basedOn w:val="7"/>
    <w:link w:val="13"/>
    <w:qFormat/>
    <w:uiPriority w:val="0"/>
    <w:rPr>
      <w:rFonts w:ascii="PMingLiU" w:hAnsi="PMingLiU" w:eastAsia="PMingLiU" w:cs="PMingLiU"/>
      <w:spacing w:val="20"/>
      <w:sz w:val="26"/>
      <w:szCs w:val="26"/>
      <w:shd w:val="clear" w:color="auto" w:fill="FFFFFF"/>
    </w:rPr>
  </w:style>
  <w:style w:type="paragraph" w:customStyle="1" w:styleId="13">
    <w:name w:val="Body text|21"/>
    <w:basedOn w:val="1"/>
    <w:link w:val="12"/>
    <w:qFormat/>
    <w:uiPriority w:val="0"/>
    <w:pPr>
      <w:shd w:val="clear" w:color="auto" w:fill="FFFFFF"/>
      <w:spacing w:line="634" w:lineRule="exact"/>
      <w:jc w:val="center"/>
    </w:pPr>
    <w:rPr>
      <w:rFonts w:ascii="PMingLiU" w:hAnsi="PMingLiU" w:eastAsia="PMingLiU" w:cs="PMingLiU"/>
      <w:spacing w:val="20"/>
      <w:sz w:val="26"/>
      <w:szCs w:val="26"/>
    </w:rPr>
  </w:style>
  <w:style w:type="paragraph" w:customStyle="1" w:styleId="14">
    <w:name w:val="表格式1"/>
    <w:qFormat/>
    <w:uiPriority w:val="0"/>
    <w:pPr>
      <w:jc w:val="center"/>
    </w:pPr>
    <w:rPr>
      <w:rFonts w:ascii="Times New Roman" w:hAnsi="Times New Roman" w:eastAsia="宋体" w:cstheme="minorBidi"/>
      <w:sz w:val="24"/>
      <w:szCs w:val="21"/>
      <w:lang w:val="en-US" w:eastAsia="zh-CN" w:bidi="ar-SA"/>
    </w:rPr>
  </w:style>
  <w:style w:type="paragraph" w:customStyle="1" w:styleId="15">
    <w:name w:val="图格式"/>
    <w:qFormat/>
    <w:uiPriority w:val="0"/>
    <w:pPr>
      <w:spacing w:before="25" w:beforeLines="25" w:after="25" w:afterLines="25"/>
      <w:jc w:val="center"/>
    </w:pPr>
    <w:rPr>
      <w:rFonts w:hint="eastAsia" w:ascii="Times New Roman" w:hAnsi="Times New Roman" w:eastAsia="宋体" w:cstheme="minorBidi"/>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daohangxitong.com</Company>
  <Pages>5</Pages>
  <Words>2699</Words>
  <Characters>3114</Characters>
  <Lines>4</Lines>
  <Paragraphs>1</Paragraphs>
  <TotalTime>1</TotalTime>
  <ScaleCrop>false</ScaleCrop>
  <LinksUpToDate>false</LinksUpToDate>
  <CharactersWithSpaces>3114</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2019-04-20T03:56:00Z</dcterms:created>
  <dc:creator>Administrator</dc:creator>
  <cp:lastModifiedBy>Administrator</cp:lastModifiedBy>
  <cp:lastPrinted>2022-12-13T04:45:00Z</cp:lastPrinted>
  <dcterms:modified xsi:type="dcterms:W3CDTF">2026-07-28T08:20:59Z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A1E1A731F50D4BB3BAFEF960E8705187</vt:lpwstr>
  </property>
  <property fmtid="{D5CDD505-2E9C-101B-9397-08002B2CF9AE}" pid="4" name="KSOTemplateDocerSaveRecord">
    <vt:lpwstr>eyJoZGlkIjoiZmMxNTJlOTBmNjE1MWI1OWNmYzY2OThmMGFjYjYyYmQiLCJ1c2VySWQiOiIyNzg3OTQ2MTEifQ==</vt:lpwstr>
  </property>
</Properties>
</file>