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8F24ED">
      <w:pPr>
        <w:pStyle w:val="13"/>
        <w:rPr>
          <w:rFonts w:hint="default" w:ascii="Arial" w:hAnsi="Arial" w:eastAsia="宋体" w:cs="Arial"/>
          <w:b w:val="0"/>
          <w:color w:val="auto"/>
          <w:highlight w:val="none"/>
          <w:shd w:val="clear" w:color="auto" w:fill="auto"/>
        </w:rPr>
      </w:pPr>
      <w:r>
        <w:rPr>
          <w:rFonts w:hint="default" w:ascii="Arial" w:hAnsi="Arial" w:eastAsia="宋体" w:cs="Arial"/>
          <w:b w:val="0"/>
          <w:color w:val="auto"/>
          <w:highlight w:val="none"/>
          <w:shd w:val="clear" w:color="auto" w:fill="auto"/>
        </w:rPr>
        <w:t>目    录</w:t>
      </w:r>
    </w:p>
    <w:p w14:paraId="54BAB41C">
      <w:pPr>
        <w:pStyle w:val="9"/>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TOC \o "1-2" \h \z \u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_Toc5079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color w:val="auto"/>
          <w:szCs w:val="24"/>
          <w:highlight w:val="none"/>
          <w:shd w:val="clear" w:color="auto" w:fill="auto"/>
        </w:rPr>
        <w:t>1. 总则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_Toc5079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78763FEB">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_Toc17653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color w:val="auto"/>
          <w:szCs w:val="24"/>
          <w:highlight w:val="none"/>
          <w:shd w:val="clear" w:color="auto" w:fill="auto"/>
        </w:rPr>
        <w:t>1.1 适用范围</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_Toc17653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12F5F9C4">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_Toc5198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color w:val="auto"/>
          <w:szCs w:val="24"/>
          <w:highlight w:val="none"/>
          <w:shd w:val="clear" w:color="auto" w:fill="auto"/>
        </w:rPr>
        <w:t>1.2 编制说明</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_Toc5198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504D62CE">
      <w:pPr>
        <w:pStyle w:val="9"/>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_Toc4629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color w:val="auto"/>
          <w:szCs w:val="24"/>
          <w:highlight w:val="none"/>
          <w:shd w:val="clear" w:color="auto" w:fill="auto"/>
        </w:rPr>
        <w:t>2. 设计依据</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_Toc4629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8F7208F">
      <w:pPr>
        <w:pStyle w:val="9"/>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_Toc22902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2.</w:t>
      </w:r>
      <w:r>
        <w:rPr>
          <w:rFonts w:hint="default" w:ascii="Arial" w:hAnsi="Arial" w:eastAsia="宋体" w:cs="Arial"/>
          <w:bCs/>
          <w:color w:val="auto"/>
          <w:szCs w:val="24"/>
          <w:highlight w:val="none"/>
          <w:shd w:val="clear" w:color="auto" w:fill="auto"/>
        </w:rPr>
        <w:t>管道材料等级规定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_Toc22902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7842684A">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_Toc29858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2.1</w:t>
      </w:r>
      <w:r>
        <w:rPr>
          <w:rFonts w:hint="default" w:ascii="Arial" w:hAnsi="Arial" w:eastAsia="宋体" w:cs="Arial"/>
          <w:bCs/>
          <w:color w:val="auto"/>
          <w:szCs w:val="24"/>
          <w:highlight w:val="none"/>
          <w:shd w:val="clear" w:color="auto" w:fill="auto"/>
        </w:rPr>
        <w:t>适用范围</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_Toc29858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4</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28E60966">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_Toc29926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2.2标准、规范</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_Toc29926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5</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3241DB2">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_Toc19891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2.3单位制</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_Toc19891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6</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1452D2FF">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_Toc2475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2.4管道材料一般规定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_Toc2475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7</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526C485">
      <w:pPr>
        <w:pStyle w:val="9"/>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_Toc18711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w:t>
      </w:r>
      <w:r>
        <w:rPr>
          <w:rFonts w:hint="default" w:ascii="Arial" w:hAnsi="Arial" w:eastAsia="宋体" w:cs="Arial"/>
          <w:bCs/>
          <w:color w:val="auto"/>
          <w:szCs w:val="24"/>
          <w:highlight w:val="none"/>
          <w:shd w:val="clear" w:color="auto" w:fill="auto"/>
        </w:rPr>
        <w:t>设备和管道绝热设计规定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_Toc18711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10</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1659FD6">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_Toc7562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3.1标准、规范</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_Toc7562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10</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514AF296">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_Toc25086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3.2一般规定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_Toc25086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11</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4994CD19">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_Toc8550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3.2.1保温及保冷的代号</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_Toc8550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11</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73828786">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_Toc1619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3.2.2保温防烫</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_Toc1619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11</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E4AD48E">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_Toc20942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3.2.3保冷</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_Toc20942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13</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5D151702">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_Toc5514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3.2.4绝热材料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_Toc5514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13</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DC1FE42">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_Toc22780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3.2.5外保护层材料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_Toc22780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20</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20749BFD">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_Toc7975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3.2.6紧固材料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_Toc7975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20</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7ED6009">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_Toc9677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3.2.7防潮层材料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_Toc9677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21</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5F4845E0">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_Toc9815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3.2.8其他材料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_Toc9815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21</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6626F2A">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_Toc18298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3.2.9绝热厚度</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_Toc18298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22</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4AD9A642">
      <w:pPr>
        <w:pStyle w:val="9"/>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_Toc6974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4设备和管道涂漆设计规定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_Toc6974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26</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3474CE5E">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_Toc23578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4.1适用范围</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_Toc23578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26</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11D51A6F">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_Toc32760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4.2标准、规范</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_Toc32760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26</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628597C6">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_Toc20536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4.3一般规定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_Toc20536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26</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4F4E0733">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_Toc7772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4.4涂漆原则</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_Toc7772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27</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908C8D9">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_Toc24570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4.5表面色和标志色规定</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_Toc24570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28</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2FCB838C">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_Toc7413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4.6涂漆标志要求</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_Toc7413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28</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39CBAAC">
      <w:pPr>
        <w:pStyle w:val="10"/>
        <w:tabs>
          <w:tab w:val="right" w:leader="dot" w:pos="9355"/>
        </w:tabs>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begin"/>
      </w:r>
      <w:r>
        <w:rPr>
          <w:rFonts w:hint="default" w:ascii="Arial" w:hAnsi="Arial" w:eastAsia="宋体" w:cs="Arial"/>
          <w:color w:val="auto"/>
          <w:kern w:val="2"/>
          <w:highlight w:val="none"/>
          <w:shd w:val="clear" w:color="auto" w:fill="auto"/>
        </w:rPr>
        <w:instrText xml:space="preserve"> HYPERLINK \l _Toc3761 </w:instrText>
      </w:r>
      <w:r>
        <w:rPr>
          <w:rFonts w:hint="default" w:ascii="Arial" w:hAnsi="Arial" w:eastAsia="宋体" w:cs="Arial"/>
          <w:color w:val="auto"/>
          <w:kern w:val="2"/>
          <w:highlight w:val="none"/>
          <w:shd w:val="clear" w:color="auto" w:fill="auto"/>
        </w:rPr>
        <w:fldChar w:fldCharType="separate"/>
      </w:r>
      <w:r>
        <w:rPr>
          <w:rFonts w:hint="default" w:ascii="Arial" w:hAnsi="Arial" w:eastAsia="宋体" w:cs="Arial"/>
          <w:bCs/>
          <w:color w:val="auto"/>
          <w:szCs w:val="24"/>
          <w:highlight w:val="none"/>
          <w:shd w:val="clear" w:color="auto" w:fill="auto"/>
          <w:lang w:val="en-US" w:eastAsia="zh-CN"/>
        </w:rPr>
        <w:t>4.7涂漆品种选用表</w:t>
      </w:r>
      <w:r>
        <w:rPr>
          <w:rFonts w:hint="default" w:ascii="Arial" w:hAnsi="Arial" w:eastAsia="宋体" w:cs="Arial"/>
          <w:color w:val="auto"/>
          <w:highlight w:val="none"/>
          <w:shd w:val="clear" w:color="auto" w:fill="auto"/>
        </w:rPr>
        <w:tab/>
      </w:r>
      <w:r>
        <w:rPr>
          <w:rFonts w:hint="default" w:ascii="Arial" w:hAnsi="Arial" w:eastAsia="宋体" w:cs="Arial"/>
          <w:color w:val="auto"/>
          <w:highlight w:val="none"/>
          <w:shd w:val="clear" w:color="auto" w:fill="auto"/>
        </w:rPr>
        <w:fldChar w:fldCharType="begin"/>
      </w:r>
      <w:r>
        <w:rPr>
          <w:rFonts w:hint="default" w:ascii="Arial" w:hAnsi="Arial" w:eastAsia="宋体" w:cs="Arial"/>
          <w:color w:val="auto"/>
          <w:highlight w:val="none"/>
          <w:shd w:val="clear" w:color="auto" w:fill="auto"/>
        </w:rPr>
        <w:instrText xml:space="preserve"> PAGEREF _Toc3761 </w:instrText>
      </w:r>
      <w:r>
        <w:rPr>
          <w:rFonts w:hint="default" w:ascii="Arial" w:hAnsi="Arial" w:eastAsia="宋体" w:cs="Arial"/>
          <w:color w:val="auto"/>
          <w:highlight w:val="none"/>
          <w:shd w:val="clear" w:color="auto" w:fill="auto"/>
        </w:rPr>
        <w:fldChar w:fldCharType="separate"/>
      </w:r>
      <w:r>
        <w:rPr>
          <w:rFonts w:hint="default" w:ascii="Arial" w:hAnsi="Arial" w:eastAsia="宋体" w:cs="Arial"/>
          <w:color w:val="auto"/>
          <w:highlight w:val="none"/>
          <w:shd w:val="clear" w:color="auto" w:fill="auto"/>
        </w:rPr>
        <w:t>28</w:t>
      </w:r>
      <w:r>
        <w:rPr>
          <w:rFonts w:hint="default" w:ascii="Arial" w:hAnsi="Arial" w:eastAsia="宋体" w:cs="Arial"/>
          <w:color w:val="auto"/>
          <w:highlight w:val="none"/>
          <w:shd w:val="clear" w:color="auto" w:fill="auto"/>
        </w:rPr>
        <w:fldChar w:fldCharType="end"/>
      </w:r>
      <w:r>
        <w:rPr>
          <w:rFonts w:hint="default" w:ascii="Arial" w:hAnsi="Arial" w:eastAsia="宋体" w:cs="Arial"/>
          <w:color w:val="auto"/>
          <w:kern w:val="2"/>
          <w:highlight w:val="none"/>
          <w:shd w:val="clear" w:color="auto" w:fill="auto"/>
        </w:rPr>
        <w:fldChar w:fldCharType="end"/>
      </w:r>
    </w:p>
    <w:p w14:paraId="05DA3298">
      <w:pPr>
        <w:pStyle w:val="14"/>
        <w:keepNext w:val="0"/>
        <w:keepLines w:val="0"/>
        <w:pageBreakBefore w:val="0"/>
        <w:widowControl w:val="0"/>
        <w:numPr>
          <w:ilvl w:val="0"/>
          <w:numId w:val="0"/>
        </w:numPr>
        <w:kinsoku/>
        <w:wordWrap/>
        <w:overflowPunct/>
        <w:topLinePunct w:val="0"/>
        <w:autoSpaceDE/>
        <w:autoSpaceDN/>
        <w:bidi w:val="0"/>
        <w:adjustRightInd/>
        <w:snapToGrid/>
        <w:textAlignment w:val="auto"/>
        <w:outlineLvl w:val="9"/>
        <w:rPr>
          <w:rFonts w:hint="default" w:ascii="Arial" w:hAnsi="Arial" w:eastAsia="宋体" w:cs="Arial"/>
          <w:color w:val="auto"/>
          <w:highlight w:val="none"/>
          <w:shd w:val="clear" w:color="auto" w:fill="auto"/>
        </w:rPr>
      </w:pPr>
      <w:r>
        <w:rPr>
          <w:rFonts w:hint="default" w:ascii="Arial" w:hAnsi="Arial" w:eastAsia="宋体" w:cs="Arial"/>
          <w:color w:val="auto"/>
          <w:kern w:val="2"/>
          <w:highlight w:val="none"/>
          <w:shd w:val="clear" w:color="auto" w:fill="auto"/>
        </w:rPr>
        <w:fldChar w:fldCharType="end"/>
      </w:r>
    </w:p>
    <w:p w14:paraId="64B90762">
      <w:pPr>
        <w:pStyle w:val="15"/>
        <w:rPr>
          <w:rFonts w:hint="default" w:ascii="Arial" w:hAnsi="Arial" w:eastAsia="宋体" w:cs="Arial"/>
          <w:color w:val="auto"/>
          <w:highlight w:val="none"/>
          <w:shd w:val="clear" w:color="auto" w:fill="auto"/>
        </w:rPr>
        <w:sectPr>
          <w:headerReference r:id="rId5" w:type="default"/>
          <w:pgSz w:w="11907" w:h="16839"/>
          <w:pgMar w:top="1418" w:right="1134" w:bottom="2041" w:left="1418" w:header="935" w:footer="830" w:gutter="0"/>
          <w:pgBorders>
            <w:top w:val="none" w:sz="0" w:space="0"/>
            <w:left w:val="none" w:sz="0" w:space="0"/>
            <w:bottom w:val="none" w:sz="0" w:space="0"/>
            <w:right w:val="none" w:sz="0" w:space="0"/>
          </w:pgBorders>
          <w:cols w:space="720" w:num="1"/>
          <w:docGrid w:type="lines" w:linePitch="312" w:charSpace="0"/>
        </w:sectPr>
      </w:pPr>
    </w:p>
    <w:p w14:paraId="69A6B1DB">
      <w:pPr>
        <w:pStyle w:val="2"/>
        <w:numPr>
          <w:ilvl w:val="0"/>
          <w:numId w:val="0"/>
        </w:numPr>
        <w:spacing w:before="156" w:beforeLines="50" w:after="156" w:afterLines="50"/>
        <w:ind w:left="578" w:hanging="578"/>
        <w:jc w:val="both"/>
        <w:rPr>
          <w:rFonts w:hint="default" w:ascii="Arial" w:hAnsi="Arial" w:eastAsia="宋体" w:cs="Arial"/>
          <w:color w:val="auto"/>
          <w:sz w:val="24"/>
          <w:szCs w:val="24"/>
          <w:highlight w:val="none"/>
          <w:shd w:val="clear" w:color="auto" w:fill="auto"/>
        </w:rPr>
      </w:pPr>
      <w:bookmarkStart w:id="0" w:name="_Toc47150677"/>
      <w:bookmarkStart w:id="1" w:name="_Toc47150685"/>
      <w:bookmarkStart w:id="2" w:name="_Toc114648858"/>
      <w:bookmarkStart w:id="3" w:name="_Toc115578763"/>
      <w:bookmarkStart w:id="4" w:name="_Toc47150835"/>
      <w:bookmarkStart w:id="5" w:name="_Toc47150136"/>
      <w:bookmarkStart w:id="6" w:name="_Toc47150104"/>
      <w:bookmarkStart w:id="7" w:name="_Toc47150128"/>
      <w:bookmarkStart w:id="8" w:name="_Toc497989359"/>
      <w:bookmarkStart w:id="9" w:name="_Toc47150086"/>
      <w:bookmarkStart w:id="10" w:name="_Toc47150112"/>
      <w:bookmarkStart w:id="11" w:name="_Toc47154530"/>
      <w:bookmarkStart w:id="12" w:name="_Toc111970616"/>
      <w:bookmarkStart w:id="13" w:name="_Toc5079"/>
      <w:bookmarkStart w:id="14" w:name="_Toc47150096"/>
      <w:bookmarkStart w:id="15" w:name="_Toc47150748"/>
      <w:bookmarkStart w:id="16" w:name="_Toc47150076"/>
      <w:bookmarkStart w:id="17" w:name="_Toc47150702"/>
      <w:bookmarkStart w:id="18" w:name="_Toc47154538"/>
      <w:bookmarkStart w:id="19" w:name="_Toc47150723"/>
      <w:bookmarkStart w:id="20" w:name="_Toc47150802"/>
      <w:bookmarkStart w:id="21" w:name="_Toc47150120"/>
      <w:bookmarkStart w:id="22" w:name="_Toc47150067"/>
      <w:r>
        <w:rPr>
          <w:rFonts w:hint="default" w:ascii="Arial" w:hAnsi="Arial" w:eastAsia="宋体" w:cs="Arial"/>
          <w:color w:val="auto"/>
          <w:sz w:val="24"/>
          <w:szCs w:val="24"/>
          <w:highlight w:val="none"/>
          <w:shd w:val="clear" w:color="auto" w:fill="auto"/>
        </w:rPr>
        <w:t>1. 总则</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2C719B50">
      <w:pPr>
        <w:pStyle w:val="3"/>
        <w:numPr>
          <w:ilvl w:val="0"/>
          <w:numId w:val="0"/>
        </w:numPr>
        <w:spacing w:before="0" w:beforeLines="0" w:after="0" w:afterLines="0"/>
        <w:rPr>
          <w:rFonts w:hint="default" w:ascii="Arial" w:hAnsi="Arial" w:eastAsia="宋体" w:cs="Arial"/>
          <w:color w:val="auto"/>
          <w:sz w:val="24"/>
          <w:szCs w:val="24"/>
          <w:highlight w:val="none"/>
          <w:shd w:val="clear" w:color="auto" w:fill="auto"/>
        </w:rPr>
      </w:pPr>
      <w:bookmarkStart w:id="23" w:name="_Toc47150686"/>
      <w:bookmarkStart w:id="24" w:name="_Toc47150105"/>
      <w:bookmarkStart w:id="25" w:name="_Toc47150077"/>
      <w:bookmarkStart w:id="26" w:name="_Toc47150097"/>
      <w:bookmarkStart w:id="27" w:name="_Toc47150129"/>
      <w:bookmarkStart w:id="28" w:name="_Toc47154531"/>
      <w:bookmarkStart w:id="29" w:name="_Toc47150703"/>
      <w:bookmarkStart w:id="30" w:name="_Toc47150724"/>
      <w:bookmarkStart w:id="31" w:name="_Toc114648859"/>
      <w:bookmarkStart w:id="32" w:name="_Toc47150749"/>
      <w:bookmarkStart w:id="33" w:name="_Toc47150121"/>
      <w:bookmarkStart w:id="34" w:name="_Toc47150803"/>
      <w:bookmarkStart w:id="35" w:name="_Toc47150137"/>
      <w:bookmarkStart w:id="36" w:name="_Toc497989360"/>
      <w:bookmarkStart w:id="37" w:name="_Toc47154539"/>
      <w:bookmarkStart w:id="38" w:name="_Toc115578764"/>
      <w:bookmarkStart w:id="39" w:name="_Toc47150087"/>
      <w:bookmarkStart w:id="40" w:name="_Toc47150113"/>
      <w:bookmarkStart w:id="41" w:name="_Toc17653"/>
      <w:bookmarkStart w:id="42" w:name="_Toc47150836"/>
      <w:bookmarkStart w:id="43" w:name="_Toc111970617"/>
      <w:r>
        <w:rPr>
          <w:rFonts w:hint="default" w:ascii="Arial" w:hAnsi="Arial" w:eastAsia="宋体" w:cs="Arial"/>
          <w:color w:val="auto"/>
          <w:sz w:val="24"/>
          <w:szCs w:val="24"/>
          <w:highlight w:val="none"/>
          <w:shd w:val="clear" w:color="auto" w:fill="auto"/>
        </w:rPr>
        <w:t>1.1 适用范围</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36E2BB3F">
      <w:pPr>
        <w:pStyle w:val="4"/>
        <w:ind w:firstLine="480"/>
        <w:rPr>
          <w:rFonts w:hint="default" w:ascii="Arial" w:hAnsi="Arial" w:eastAsia="宋体" w:cs="Arial"/>
          <w:color w:val="auto"/>
          <w:sz w:val="24"/>
          <w:szCs w:val="24"/>
          <w:highlight w:val="none"/>
          <w:shd w:val="clear" w:color="auto" w:fill="auto"/>
        </w:rPr>
      </w:pPr>
      <w:bookmarkStart w:id="44" w:name="_Toc497989361"/>
      <w:r>
        <w:rPr>
          <w:rFonts w:hint="default" w:ascii="Arial" w:hAnsi="Arial" w:eastAsia="宋体" w:cs="Arial"/>
          <w:color w:val="auto"/>
          <w:sz w:val="24"/>
          <w:szCs w:val="24"/>
          <w:highlight w:val="none"/>
          <w:shd w:val="clear" w:color="auto" w:fill="auto"/>
        </w:rPr>
        <w:t>为了统一和规范“</w:t>
      </w:r>
      <w:r>
        <w:rPr>
          <w:rFonts w:hint="default" w:ascii="Arial" w:hAnsi="Arial" w:eastAsia="宋体" w:cs="Arial"/>
          <w:color w:val="auto"/>
          <w:sz w:val="24"/>
          <w:szCs w:val="24"/>
          <w:highlight w:val="none"/>
          <w:shd w:val="clear" w:color="auto" w:fill="auto"/>
          <w:lang w:val="en-US" w:eastAsia="zh-CN"/>
        </w:rPr>
        <w:t>项目</w:t>
      </w:r>
      <w:r>
        <w:rPr>
          <w:rFonts w:hint="default" w:ascii="Arial" w:hAnsi="Arial" w:eastAsia="宋体" w:cs="Arial"/>
          <w:color w:val="auto"/>
          <w:sz w:val="24"/>
          <w:szCs w:val="24"/>
          <w:highlight w:val="none"/>
          <w:shd w:val="clear" w:color="auto" w:fill="auto"/>
        </w:rPr>
        <w:t>”详细工程设计中管道材料选用要求、绝热要求及防腐要求，特编制本规定。</w:t>
      </w:r>
    </w:p>
    <w:p w14:paraId="7EA3D5A9">
      <w:pPr>
        <w:pStyle w:val="3"/>
        <w:numPr>
          <w:ilvl w:val="0"/>
          <w:numId w:val="0"/>
        </w:numPr>
        <w:spacing w:before="0" w:beforeLines="0" w:after="0" w:afterLines="0"/>
        <w:rPr>
          <w:rFonts w:hint="default" w:ascii="Arial" w:hAnsi="Arial" w:eastAsia="宋体" w:cs="Arial"/>
          <w:color w:val="auto"/>
          <w:sz w:val="24"/>
          <w:szCs w:val="24"/>
          <w:highlight w:val="none"/>
          <w:shd w:val="clear" w:color="auto" w:fill="auto"/>
        </w:rPr>
      </w:pPr>
      <w:bookmarkStart w:id="45" w:name="_Toc5198"/>
      <w:r>
        <w:rPr>
          <w:rFonts w:hint="default" w:ascii="Arial" w:hAnsi="Arial" w:eastAsia="宋体" w:cs="Arial"/>
          <w:color w:val="auto"/>
          <w:sz w:val="24"/>
          <w:szCs w:val="24"/>
          <w:highlight w:val="none"/>
          <w:shd w:val="clear" w:color="auto" w:fill="auto"/>
        </w:rPr>
        <w:t>1.2 编制说明</w:t>
      </w:r>
      <w:bookmarkEnd w:id="44"/>
      <w:bookmarkEnd w:id="45"/>
    </w:p>
    <w:p w14:paraId="7F06D659">
      <w:pPr>
        <w:pStyle w:val="4"/>
        <w:keepNext w:val="0"/>
        <w:keepLines w:val="0"/>
        <w:pageBreakBefore w:val="0"/>
        <w:widowControl/>
        <w:kinsoku/>
        <w:wordWrap/>
        <w:overflowPunct/>
        <w:topLinePunct w:val="0"/>
        <w:autoSpaceDE/>
        <w:autoSpaceDN/>
        <w:bidi w:val="0"/>
        <w:adjustRightInd/>
        <w:snapToGrid/>
        <w:ind w:firstLine="48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本规定是为了使项目在详细工程设计中处理共性问题上达到相对统一而制定的，各设计专业可以此规定为基础，针对具体情况制定相应的专业设计统一规定。</w:t>
      </w:r>
    </w:p>
    <w:p w14:paraId="557AD332">
      <w:pPr>
        <w:pStyle w:val="2"/>
        <w:numPr>
          <w:ilvl w:val="0"/>
          <w:numId w:val="0"/>
        </w:numPr>
        <w:spacing w:before="156" w:beforeLines="50" w:after="156" w:afterLines="50"/>
        <w:ind w:left="578" w:hanging="578"/>
        <w:jc w:val="both"/>
        <w:rPr>
          <w:rFonts w:hint="default" w:ascii="Arial" w:hAnsi="Arial" w:eastAsia="宋体" w:cs="Arial"/>
          <w:color w:val="auto"/>
          <w:sz w:val="24"/>
          <w:szCs w:val="24"/>
          <w:highlight w:val="none"/>
          <w:shd w:val="clear" w:color="auto" w:fill="auto"/>
        </w:rPr>
      </w:pPr>
      <w:bookmarkStart w:id="46" w:name="_Toc47150142"/>
      <w:bookmarkStart w:id="47" w:name="_Toc47154536"/>
      <w:bookmarkStart w:id="48" w:name="_Toc47150678"/>
      <w:bookmarkStart w:id="49" w:name="_Toc47150691"/>
      <w:bookmarkStart w:id="50" w:name="_Toc47150118"/>
      <w:bookmarkStart w:id="51" w:name="_Toc47150110"/>
      <w:bookmarkStart w:id="52" w:name="_Toc111970622"/>
      <w:bookmarkStart w:id="53" w:name="_Toc47150841"/>
      <w:bookmarkStart w:id="54" w:name="_Toc47150808"/>
      <w:bookmarkStart w:id="55" w:name="_Toc114648864"/>
      <w:bookmarkStart w:id="56" w:name="_Toc115578769"/>
      <w:bookmarkStart w:id="57" w:name="_Toc47150729"/>
      <w:bookmarkStart w:id="58" w:name="_Toc47150126"/>
      <w:bookmarkStart w:id="59" w:name="_Toc47150092"/>
      <w:bookmarkStart w:id="60" w:name="_Toc47150082"/>
      <w:bookmarkStart w:id="61" w:name="_Toc47150708"/>
      <w:bookmarkStart w:id="62" w:name="_Toc47150754"/>
      <w:bookmarkStart w:id="63" w:name="_Toc47150102"/>
      <w:bookmarkStart w:id="64" w:name="_Toc47150068"/>
      <w:bookmarkStart w:id="65" w:name="_Toc47154544"/>
      <w:bookmarkStart w:id="66" w:name="_Toc47150134"/>
      <w:bookmarkStart w:id="67" w:name="_Toc4629"/>
      <w:bookmarkStart w:id="68" w:name="_Toc497989362"/>
      <w:r>
        <w:rPr>
          <w:rFonts w:hint="default" w:ascii="Arial" w:hAnsi="Arial" w:eastAsia="宋体" w:cs="Arial"/>
          <w:color w:val="auto"/>
          <w:sz w:val="24"/>
          <w:szCs w:val="24"/>
          <w:highlight w:val="none"/>
          <w:shd w:val="clear" w:color="auto" w:fill="auto"/>
        </w:rPr>
        <w:t>2. 设计</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Pr>
          <w:rFonts w:hint="default" w:ascii="Arial" w:hAnsi="Arial" w:eastAsia="宋体" w:cs="Arial"/>
          <w:color w:val="auto"/>
          <w:sz w:val="24"/>
          <w:szCs w:val="24"/>
          <w:highlight w:val="none"/>
          <w:shd w:val="clear" w:color="auto" w:fill="auto"/>
        </w:rPr>
        <w:t>依据</w:t>
      </w:r>
      <w:bookmarkEnd w:id="67"/>
      <w:bookmarkEnd w:id="68"/>
    </w:p>
    <w:p w14:paraId="5732C1E5">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bookmarkStart w:id="69" w:name="_Hlk518228684"/>
      <w:r>
        <w:rPr>
          <w:rFonts w:hint="default" w:ascii="Arial" w:hAnsi="Arial" w:eastAsia="宋体" w:cs="Arial"/>
          <w:bCs/>
          <w:color w:val="auto"/>
          <w:spacing w:val="-2"/>
          <w:sz w:val="24"/>
          <w:szCs w:val="24"/>
          <w:highlight w:val="none"/>
          <w:shd w:val="clear" w:color="auto" w:fill="auto"/>
        </w:rPr>
        <w:t>《</w:t>
      </w:r>
      <w:r>
        <w:rPr>
          <w:rFonts w:hint="default" w:ascii="Arial" w:hAnsi="Arial" w:eastAsia="宋体" w:cs="Arial"/>
          <w:bCs/>
          <w:color w:val="auto"/>
          <w:spacing w:val="-2"/>
          <w:sz w:val="24"/>
          <w:szCs w:val="24"/>
          <w:highlight w:val="none"/>
          <w:shd w:val="clear" w:color="auto" w:fill="auto"/>
          <w:lang w:val="en-US" w:eastAsia="zh-CN"/>
        </w:rPr>
        <w:t>项目</w:t>
      </w:r>
      <w:r>
        <w:rPr>
          <w:rFonts w:hint="default" w:ascii="Arial" w:hAnsi="Arial" w:eastAsia="宋体" w:cs="Arial"/>
          <w:bCs/>
          <w:color w:val="auto"/>
          <w:spacing w:val="-2"/>
          <w:sz w:val="24"/>
          <w:szCs w:val="24"/>
          <w:highlight w:val="none"/>
          <w:shd w:val="clear" w:color="auto" w:fill="auto"/>
        </w:rPr>
        <w:t>可行性研究报告》及其批复意见；</w:t>
      </w:r>
    </w:p>
    <w:p w14:paraId="5ABFEBAF">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由提供的工艺包设计文件；</w:t>
      </w:r>
    </w:p>
    <w:p w14:paraId="37497A9B">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w:t>
      </w:r>
      <w:r>
        <w:rPr>
          <w:rFonts w:hint="default" w:ascii="Arial" w:hAnsi="Arial" w:eastAsia="宋体" w:cs="Arial"/>
          <w:bCs/>
          <w:color w:val="auto"/>
          <w:spacing w:val="-2"/>
          <w:sz w:val="24"/>
          <w:szCs w:val="24"/>
          <w:highlight w:val="none"/>
          <w:shd w:val="clear" w:color="auto" w:fill="auto"/>
          <w:lang w:val="en-US" w:eastAsia="zh-CN"/>
        </w:rPr>
        <w:t>项目</w:t>
      </w:r>
      <w:r>
        <w:rPr>
          <w:rFonts w:hint="default" w:ascii="Arial" w:hAnsi="Arial" w:eastAsia="宋体" w:cs="Arial"/>
          <w:bCs/>
          <w:color w:val="auto"/>
          <w:spacing w:val="-2"/>
          <w:sz w:val="24"/>
          <w:szCs w:val="24"/>
          <w:highlight w:val="none"/>
          <w:shd w:val="clear" w:color="auto" w:fill="auto"/>
        </w:rPr>
        <w:t>安全预评价报告》及其批复意见；</w:t>
      </w:r>
    </w:p>
    <w:p w14:paraId="689061CA">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w:t>
      </w:r>
      <w:r>
        <w:rPr>
          <w:rFonts w:hint="default" w:ascii="Arial" w:hAnsi="Arial" w:eastAsia="宋体" w:cs="Arial"/>
          <w:bCs/>
          <w:color w:val="auto"/>
          <w:spacing w:val="-2"/>
          <w:sz w:val="24"/>
          <w:szCs w:val="24"/>
          <w:highlight w:val="none"/>
          <w:shd w:val="clear" w:color="auto" w:fill="auto"/>
          <w:lang w:val="en-US" w:eastAsia="zh-CN"/>
        </w:rPr>
        <w:t>项目</w:t>
      </w:r>
      <w:r>
        <w:rPr>
          <w:rFonts w:hint="default" w:ascii="Arial" w:hAnsi="Arial" w:eastAsia="宋体" w:cs="Arial"/>
          <w:bCs/>
          <w:color w:val="auto"/>
          <w:spacing w:val="-2"/>
          <w:sz w:val="24"/>
          <w:szCs w:val="24"/>
          <w:highlight w:val="none"/>
          <w:shd w:val="clear" w:color="auto" w:fill="auto"/>
        </w:rPr>
        <w:t>职业卫生预评价报告》及其批复意见；</w:t>
      </w:r>
    </w:p>
    <w:p w14:paraId="092E7170">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w:t>
      </w:r>
      <w:r>
        <w:rPr>
          <w:rFonts w:hint="default" w:ascii="Arial" w:hAnsi="Arial" w:eastAsia="宋体" w:cs="Arial"/>
          <w:bCs/>
          <w:color w:val="auto"/>
          <w:spacing w:val="-2"/>
          <w:sz w:val="24"/>
          <w:szCs w:val="24"/>
          <w:highlight w:val="none"/>
          <w:shd w:val="clear" w:color="auto" w:fill="auto"/>
          <w:lang w:val="en-US" w:eastAsia="zh-CN"/>
        </w:rPr>
        <w:t>项目</w:t>
      </w:r>
      <w:r>
        <w:rPr>
          <w:rFonts w:hint="default" w:ascii="Arial" w:hAnsi="Arial" w:eastAsia="宋体" w:cs="Arial"/>
          <w:bCs/>
          <w:color w:val="auto"/>
          <w:spacing w:val="-2"/>
          <w:sz w:val="24"/>
          <w:szCs w:val="24"/>
          <w:highlight w:val="none"/>
          <w:shd w:val="clear" w:color="auto" w:fill="auto"/>
        </w:rPr>
        <w:t>环境影响报告》及其批复意见；</w:t>
      </w:r>
    </w:p>
    <w:p w14:paraId="5637DA7C">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w:t>
      </w:r>
      <w:r>
        <w:rPr>
          <w:rFonts w:hint="default" w:ascii="Arial" w:hAnsi="Arial" w:eastAsia="宋体" w:cs="Arial"/>
          <w:bCs/>
          <w:color w:val="auto"/>
          <w:spacing w:val="-2"/>
          <w:sz w:val="24"/>
          <w:szCs w:val="24"/>
          <w:highlight w:val="none"/>
          <w:shd w:val="clear" w:color="auto" w:fill="auto"/>
          <w:lang w:val="en-US" w:eastAsia="zh-CN"/>
        </w:rPr>
        <w:t>项目</w:t>
      </w:r>
      <w:r>
        <w:rPr>
          <w:rFonts w:hint="default" w:ascii="Arial" w:hAnsi="Arial" w:eastAsia="宋体" w:cs="Arial"/>
          <w:bCs/>
          <w:color w:val="auto"/>
          <w:spacing w:val="-2"/>
          <w:sz w:val="24"/>
          <w:szCs w:val="24"/>
          <w:highlight w:val="none"/>
          <w:shd w:val="clear" w:color="auto" w:fill="auto"/>
        </w:rPr>
        <w:t>能评估报告》及其批复意见；</w:t>
      </w:r>
    </w:p>
    <w:p w14:paraId="45D30556">
      <w:pPr>
        <w:keepNext w:val="0"/>
        <w:keepLines w:val="0"/>
        <w:pageBreakBefore w:val="0"/>
        <w:widowControl/>
        <w:numPr>
          <w:ilvl w:val="0"/>
          <w:numId w:val="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lang w:val="en-US" w:eastAsia="zh-CN"/>
        </w:rPr>
        <w:t>与业主方往来文函、传真、电子邮件或经双方认可的其他资料。</w:t>
      </w:r>
    </w:p>
    <w:p w14:paraId="6FA4EB3B">
      <w:pPr>
        <w:pStyle w:val="2"/>
        <w:numPr>
          <w:ilvl w:val="0"/>
          <w:numId w:val="0"/>
        </w:numPr>
        <w:spacing w:before="156" w:beforeLines="50" w:after="156" w:afterLines="50"/>
        <w:ind w:left="578" w:hanging="578"/>
        <w:jc w:val="both"/>
        <w:rPr>
          <w:rFonts w:hint="default" w:ascii="Arial" w:hAnsi="Arial" w:eastAsia="宋体" w:cs="Arial"/>
          <w:b/>
          <w:bCs/>
          <w:color w:val="auto"/>
          <w:sz w:val="24"/>
          <w:szCs w:val="24"/>
          <w:highlight w:val="none"/>
          <w:shd w:val="clear" w:color="auto" w:fill="auto"/>
        </w:rPr>
      </w:pPr>
      <w:bookmarkStart w:id="70" w:name="_Toc22902"/>
      <w:r>
        <w:rPr>
          <w:rFonts w:hint="default" w:ascii="Arial" w:hAnsi="Arial" w:eastAsia="宋体" w:cs="Arial"/>
          <w:b/>
          <w:bCs/>
          <w:color w:val="auto"/>
          <w:sz w:val="24"/>
          <w:szCs w:val="24"/>
          <w:highlight w:val="none"/>
          <w:shd w:val="clear" w:color="auto" w:fill="auto"/>
          <w:lang w:val="en-US" w:eastAsia="zh-CN"/>
        </w:rPr>
        <w:t>2.</w:t>
      </w:r>
      <w:r>
        <w:rPr>
          <w:rFonts w:hint="default" w:ascii="Arial" w:hAnsi="Arial" w:eastAsia="宋体" w:cs="Arial"/>
          <w:b/>
          <w:bCs/>
          <w:color w:val="auto"/>
          <w:sz w:val="24"/>
          <w:szCs w:val="24"/>
          <w:highlight w:val="none"/>
          <w:shd w:val="clear" w:color="auto" w:fill="auto"/>
        </w:rPr>
        <w:t>管道材料等级规定</w:t>
      </w:r>
      <w:bookmarkEnd w:id="70"/>
    </w:p>
    <w:p w14:paraId="674A458B">
      <w:pPr>
        <w:pStyle w:val="3"/>
        <w:numPr>
          <w:ilvl w:val="0"/>
          <w:numId w:val="0"/>
        </w:numPr>
        <w:spacing w:before="0" w:beforeLines="0" w:after="0" w:afterLines="0"/>
        <w:rPr>
          <w:rFonts w:hint="default" w:ascii="Arial" w:hAnsi="Arial" w:eastAsia="宋体" w:cs="Arial"/>
          <w:color w:val="auto"/>
          <w:sz w:val="24"/>
          <w:szCs w:val="24"/>
          <w:highlight w:val="none"/>
          <w:shd w:val="clear" w:color="auto" w:fill="auto"/>
        </w:rPr>
      </w:pPr>
      <w:bookmarkStart w:id="71" w:name="2.1 适用范围"/>
      <w:bookmarkEnd w:id="71"/>
      <w:bookmarkStart w:id="72" w:name="_Toc29858"/>
      <w:r>
        <w:rPr>
          <w:rFonts w:hint="default" w:ascii="Arial" w:hAnsi="Arial" w:eastAsia="宋体" w:cs="Arial"/>
          <w:b/>
          <w:bCs/>
          <w:color w:val="auto"/>
          <w:sz w:val="24"/>
          <w:szCs w:val="24"/>
          <w:highlight w:val="none"/>
          <w:shd w:val="clear" w:color="auto" w:fill="auto"/>
          <w:lang w:val="en-US" w:eastAsia="zh-CN"/>
        </w:rPr>
        <w:t>2.1</w:t>
      </w:r>
      <w:r>
        <w:rPr>
          <w:rFonts w:hint="default" w:ascii="Arial" w:hAnsi="Arial" w:eastAsia="宋体" w:cs="Arial"/>
          <w:b/>
          <w:bCs/>
          <w:color w:val="auto"/>
          <w:sz w:val="24"/>
          <w:szCs w:val="24"/>
          <w:highlight w:val="none"/>
          <w:shd w:val="clear" w:color="auto" w:fill="auto"/>
        </w:rPr>
        <w:t>适用范围</w:t>
      </w:r>
      <w:bookmarkEnd w:id="72"/>
    </w:p>
    <w:p w14:paraId="136608F3">
      <w:pPr>
        <w:keepNext w:val="0"/>
        <w:keepLines w:val="0"/>
        <w:pageBreakBefore w:val="0"/>
        <w:widowControl/>
        <w:numPr>
          <w:ilvl w:val="0"/>
          <w:numId w:val="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本规定适用于工艺管道及仪表流程图(PID）和公用工程管道及仪表流程图(UID）中所示的管道材料，不包括下列管道：</w:t>
      </w:r>
    </w:p>
    <w:p w14:paraId="7C64F31C">
      <w:pPr>
        <w:pStyle w:val="6"/>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a、方形通风管道和其他特殊管道；</w:t>
      </w:r>
    </w:p>
    <w:p w14:paraId="53EE8639">
      <w:pPr>
        <w:pStyle w:val="6"/>
        <w:keepNext w:val="0"/>
        <w:keepLines w:val="0"/>
        <w:pageBreakBefore w:val="0"/>
        <w:kinsoku/>
        <w:wordWrap/>
        <w:overflowPunct/>
        <w:topLinePunct w:val="0"/>
        <w:autoSpaceDE/>
        <w:autoSpaceDN/>
        <w:bidi w:val="0"/>
        <w:adjustRightInd w:val="0"/>
        <w:snapToGrid w:val="0"/>
        <w:spacing w:before="265" w:line="360" w:lineRule="auto"/>
        <w:ind w:left="0" w:leftChars="0" w:right="0" w:firstLine="468"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b</w:t>
      </w:r>
      <w:r>
        <w:rPr>
          <w:rFonts w:hint="default" w:ascii="Arial" w:hAnsi="Arial" w:eastAsia="宋体" w:cs="Arial"/>
          <w:color w:val="auto"/>
          <w:spacing w:val="-13"/>
          <w:sz w:val="24"/>
          <w:szCs w:val="24"/>
          <w:highlight w:val="none"/>
          <w:shd w:val="clear" w:color="auto" w:fill="auto"/>
        </w:rPr>
        <w:t>、作为专利设备、定型设备、包装设备随机带来的内部管道和配件；</w:t>
      </w:r>
    </w:p>
    <w:p w14:paraId="1DE078D7">
      <w:pPr>
        <w:pStyle w:val="6"/>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c、仪表管道；统及水处理系统管道；</w:t>
      </w:r>
    </w:p>
    <w:p w14:paraId="57A06C39">
      <w:pPr>
        <w:pStyle w:val="6"/>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d、工艺管道及仪表流程图(PID）和公用工程管道及仪表流程图(UID）中标注位号的特殊管件，如疏水器、爆破片、过滤器、视镜、阻火器、消音器等。</w:t>
      </w:r>
    </w:p>
    <w:p w14:paraId="4CD017B9">
      <w:pPr>
        <w:keepNext w:val="0"/>
        <w:keepLines w:val="0"/>
        <w:pageBreakBefore w:val="0"/>
        <w:widowControl/>
        <w:numPr>
          <w:ilvl w:val="0"/>
          <w:numId w:val="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专利商提供的标准零件或随同其标准设备(或整套设备）提供的配管系统，应该遵守专利设备生产厂的设计条件标准。</w:t>
      </w:r>
    </w:p>
    <w:p w14:paraId="2F8B4FC0">
      <w:pPr>
        <w:keepNext w:val="0"/>
        <w:keepLines w:val="0"/>
        <w:pageBreakBefore w:val="0"/>
        <w:widowControl/>
        <w:numPr>
          <w:ilvl w:val="0"/>
          <w:numId w:val="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4"/>
          <w:highlight w:val="none"/>
          <w:shd w:val="clear" w:color="auto" w:fill="auto"/>
        </w:rPr>
      </w:pPr>
      <w:r>
        <w:rPr>
          <w:rFonts w:hint="default" w:ascii="Arial" w:hAnsi="Arial" w:eastAsia="宋体" w:cs="Arial"/>
          <w:bCs/>
          <w:color w:val="auto"/>
          <w:spacing w:val="-2"/>
          <w:sz w:val="24"/>
          <w:szCs w:val="24"/>
          <w:highlight w:val="none"/>
          <w:shd w:val="clear" w:color="auto" w:fill="auto"/>
        </w:rPr>
        <w:t>与设备、仪表的连接处，本规定的适用范围如下：</w:t>
      </w:r>
    </w:p>
    <w:p w14:paraId="0101AA2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lang w:val="en-US" w:eastAsia="zh-CN"/>
        </w:rPr>
        <w:t>a</w:t>
      </w:r>
      <w:r>
        <w:rPr>
          <w:rFonts w:hint="default" w:ascii="Arial" w:hAnsi="Arial" w:eastAsia="宋体" w:cs="Arial"/>
          <w:color w:val="auto"/>
          <w:spacing w:val="-3"/>
          <w:sz w:val="24"/>
          <w:szCs w:val="24"/>
          <w:highlight w:val="none"/>
          <w:shd w:val="clear" w:color="auto" w:fill="auto"/>
        </w:rPr>
        <w:t>、与设备管口配对的法兰、垫片、紧固件。</w:t>
      </w:r>
    </w:p>
    <w:p w14:paraId="377C934D">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b、与仪表连接管线上的第一个切断阀及配对的法兰、垫片、紧固件。</w:t>
      </w:r>
    </w:p>
    <w:p w14:paraId="55FB3C8A">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c、与安全泄放阀配对的法兰、垫片、紧固件。</w:t>
      </w:r>
    </w:p>
    <w:p w14:paraId="67C31BEE">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d、与制造厂作为设备零件提供的配管接点处所用的，由甲方提供的配对法兰、垫片、紧固件。</w:t>
      </w:r>
    </w:p>
    <w:p w14:paraId="3C56EBC4">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bookmarkStart w:id="73" w:name="2.2 标准、规范"/>
      <w:bookmarkEnd w:id="73"/>
      <w:bookmarkStart w:id="74" w:name="_Toc29926"/>
      <w:r>
        <w:rPr>
          <w:rFonts w:hint="default" w:ascii="Arial" w:hAnsi="Arial" w:eastAsia="宋体" w:cs="Arial"/>
          <w:b/>
          <w:bCs/>
          <w:color w:val="auto"/>
          <w:sz w:val="24"/>
          <w:szCs w:val="24"/>
          <w:highlight w:val="none"/>
          <w:shd w:val="clear" w:color="auto" w:fill="auto"/>
          <w:lang w:val="en-US" w:eastAsia="zh-CN"/>
        </w:rPr>
        <w:t>2.2标准、规范</w:t>
      </w:r>
      <w:bookmarkEnd w:id="74"/>
    </w:p>
    <w:p w14:paraId="166F1F4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管道材料的设计、制造、试验和验收应按本说明所规定的标准和规范，执行本规定的任何承包商、分包商和供应商获悉所引用标准发生任何改变（包括修改单）时，需执行有关规定的最新有效版本（以建设方与承包商所签合同生效日为时间节点）。其最新版本适用于本规定。</w:t>
      </w:r>
    </w:p>
    <w:tbl>
      <w:tblPr>
        <w:tblStyle w:val="1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535"/>
        <w:gridCol w:w="4965"/>
      </w:tblGrid>
      <w:tr w14:paraId="09A1A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79516F0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50316-2000</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3C44740B">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工业金属管道设计规范（2008版）</w:t>
            </w:r>
          </w:p>
        </w:tc>
      </w:tr>
      <w:tr w14:paraId="00941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686B1489">
            <w:pPr>
              <w:keepNext w:val="0"/>
              <w:keepLines w:val="0"/>
              <w:widowControl/>
              <w:suppressLineNumbers w:val="0"/>
              <w:jc w:val="left"/>
              <w:textAlignment w:val="center"/>
              <w:rPr>
                <w:rFonts w:hint="default" w:ascii="Arial" w:hAnsi="Arial" w:eastAsia="宋体" w:cs="Arial"/>
                <w:i w:val="0"/>
                <w:color w:val="auto"/>
                <w:kern w:val="0"/>
                <w:sz w:val="24"/>
                <w:szCs w:val="24"/>
                <w:highlight w:val="none"/>
                <w:u w:val="none"/>
                <w:shd w:val="clear" w:color="auto" w:fill="auto"/>
                <w:lang w:val="en-US" w:eastAsia="zh-CN" w:bidi="ar"/>
              </w:rPr>
            </w:pPr>
            <w:r>
              <w:rPr>
                <w:rFonts w:hint="default" w:ascii="Arial" w:hAnsi="Arial" w:eastAsia="宋体" w:cs="Arial"/>
                <w:color w:val="auto"/>
                <w:sz w:val="24"/>
                <w:szCs w:val="24"/>
                <w:highlight w:val="none"/>
                <w:shd w:val="clear" w:color="auto" w:fill="auto"/>
              </w:rPr>
              <w:t>GB/T 20801-2006</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3A8112D3">
            <w:pPr>
              <w:keepNext w:val="0"/>
              <w:keepLines w:val="0"/>
              <w:widowControl/>
              <w:suppressLineNumbers w:val="0"/>
              <w:jc w:val="left"/>
              <w:textAlignment w:val="center"/>
              <w:rPr>
                <w:rFonts w:hint="default" w:ascii="Arial" w:hAnsi="Arial" w:eastAsia="宋体" w:cs="Arial"/>
                <w:i w:val="0"/>
                <w:color w:val="auto"/>
                <w:kern w:val="0"/>
                <w:sz w:val="24"/>
                <w:szCs w:val="24"/>
                <w:highlight w:val="none"/>
                <w:u w:val="none"/>
                <w:shd w:val="clear" w:color="auto" w:fill="auto"/>
                <w:lang w:val="en-US" w:eastAsia="zh-CN" w:bidi="ar"/>
              </w:rPr>
            </w:pPr>
            <w:r>
              <w:rPr>
                <w:rFonts w:hint="default" w:ascii="Arial" w:hAnsi="Arial" w:eastAsia="宋体" w:cs="Arial"/>
                <w:color w:val="auto"/>
                <w:sz w:val="24"/>
                <w:szCs w:val="24"/>
                <w:highlight w:val="none"/>
                <w:shd w:val="clear" w:color="auto" w:fill="auto"/>
              </w:rPr>
              <w:t>《压力管道规范 工业管道》</w:t>
            </w:r>
          </w:p>
        </w:tc>
      </w:tr>
      <w:tr w14:paraId="73219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8232BC2">
            <w:pPr>
              <w:keepNext w:val="0"/>
              <w:keepLines w:val="0"/>
              <w:widowControl/>
              <w:suppressLineNumbers w:val="0"/>
              <w:jc w:val="left"/>
              <w:textAlignment w:val="center"/>
              <w:rPr>
                <w:rFonts w:hint="default" w:ascii="Arial" w:hAnsi="Arial" w:eastAsia="宋体" w:cs="Arial"/>
                <w:i w:val="0"/>
                <w:color w:val="auto"/>
                <w:kern w:val="0"/>
                <w:sz w:val="24"/>
                <w:szCs w:val="24"/>
                <w:highlight w:val="none"/>
                <w:u w:val="none"/>
                <w:shd w:val="clear" w:color="auto" w:fill="auto"/>
                <w:lang w:val="en-US" w:eastAsia="zh-CN" w:bidi="ar"/>
              </w:rPr>
            </w:pPr>
            <w:r>
              <w:rPr>
                <w:rFonts w:hint="default" w:ascii="Arial" w:hAnsi="Arial" w:eastAsia="宋体" w:cs="Arial"/>
                <w:color w:val="auto"/>
                <w:sz w:val="24"/>
                <w:szCs w:val="24"/>
                <w:highlight w:val="none"/>
                <w:shd w:val="clear" w:color="auto" w:fill="auto"/>
              </w:rPr>
              <w:t>GB/T 150-2011</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6A96AF90">
            <w:pPr>
              <w:keepNext w:val="0"/>
              <w:keepLines w:val="0"/>
              <w:widowControl/>
              <w:suppressLineNumbers w:val="0"/>
              <w:jc w:val="left"/>
              <w:textAlignment w:val="center"/>
              <w:rPr>
                <w:rFonts w:hint="default" w:ascii="Arial" w:hAnsi="Arial" w:eastAsia="宋体" w:cs="Arial"/>
                <w:i w:val="0"/>
                <w:color w:val="auto"/>
                <w:kern w:val="0"/>
                <w:sz w:val="24"/>
                <w:szCs w:val="24"/>
                <w:highlight w:val="none"/>
                <w:u w:val="none"/>
                <w:shd w:val="clear" w:color="auto" w:fill="auto"/>
                <w:lang w:val="en-US" w:eastAsia="zh-CN" w:bidi="ar"/>
              </w:rPr>
            </w:pPr>
            <w:r>
              <w:rPr>
                <w:rFonts w:hint="default" w:ascii="Arial" w:hAnsi="Arial" w:eastAsia="宋体" w:cs="Arial"/>
                <w:color w:val="auto"/>
                <w:sz w:val="24"/>
                <w:szCs w:val="24"/>
                <w:highlight w:val="none"/>
                <w:shd w:val="clear" w:color="auto" w:fill="auto"/>
              </w:rPr>
              <w:t>《压力容器》</w:t>
            </w:r>
          </w:p>
        </w:tc>
      </w:tr>
      <w:tr w14:paraId="03BEE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0660D3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50235-2010</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43479959">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工业金属管道工程施工规范</w:t>
            </w:r>
          </w:p>
        </w:tc>
      </w:tr>
      <w:tr w14:paraId="51A87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07A3BBE">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50184-2011</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344ACFB5">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工业金属管道施工质量验收规范</w:t>
            </w:r>
          </w:p>
        </w:tc>
      </w:tr>
      <w:tr w14:paraId="3CC80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245A4BF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50517-2010</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53721229">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石油化工金属管道工程施工质量验收规范</w:t>
            </w:r>
          </w:p>
        </w:tc>
      </w:tr>
      <w:tr w14:paraId="0A80D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6288822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lang w:val="en-US"/>
              </w:rPr>
            </w:pPr>
            <w:r>
              <w:rPr>
                <w:rFonts w:hint="default" w:ascii="Arial" w:hAnsi="Arial" w:eastAsia="宋体" w:cs="Arial"/>
                <w:i w:val="0"/>
                <w:color w:val="auto"/>
                <w:kern w:val="0"/>
                <w:sz w:val="24"/>
                <w:szCs w:val="24"/>
                <w:highlight w:val="none"/>
                <w:u w:val="none"/>
                <w:shd w:val="clear" w:color="auto" w:fill="auto"/>
                <w:lang w:val="en-US" w:eastAsia="zh-CN" w:bidi="ar"/>
              </w:rPr>
              <w:t>GB/T 8163-2018</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528CFAB5">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输送流体用无缝钢管</w:t>
            </w:r>
          </w:p>
        </w:tc>
      </w:tr>
      <w:tr w14:paraId="2A885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C88E027">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12459-2017</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6F3094E6">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钢制对焊管件 类型与参数</w:t>
            </w:r>
          </w:p>
        </w:tc>
      </w:tr>
      <w:tr w14:paraId="540C8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4D35065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13401-2017</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0F10D667">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钢制对焊管件 技术规范</w:t>
            </w:r>
          </w:p>
        </w:tc>
      </w:tr>
      <w:tr w14:paraId="6B69D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4C1111F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14976-2012</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76D5EFF6">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流体输送用不锈钢无缝钢管</w:t>
            </w:r>
          </w:p>
        </w:tc>
      </w:tr>
      <w:tr w14:paraId="52F5B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2968A1F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19326-2012</w:t>
            </w:r>
          </w:p>
        </w:tc>
        <w:tc>
          <w:tcPr>
            <w:tcW w:w="4965" w:type="dxa"/>
            <w:tcBorders>
              <w:top w:val="nil"/>
              <w:left w:val="nil"/>
              <w:bottom w:val="nil"/>
              <w:right w:val="nil"/>
            </w:tcBorders>
            <w:noWrap w:val="0"/>
            <w:tcMar>
              <w:top w:w="15" w:type="dxa"/>
              <w:left w:w="15" w:type="dxa"/>
              <w:right w:w="15" w:type="dxa"/>
            </w:tcMar>
            <w:vAlign w:val="center"/>
          </w:tcPr>
          <w:p w14:paraId="2B1DE39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钢制承插焊、螺纹和对焊支管座</w:t>
            </w:r>
          </w:p>
        </w:tc>
      </w:tr>
      <w:tr w14:paraId="6BE96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auto"/>
            <w:noWrap w:val="0"/>
            <w:tcMar>
              <w:top w:w="15" w:type="dxa"/>
              <w:left w:w="15" w:type="dxa"/>
              <w:right w:w="15" w:type="dxa"/>
            </w:tcMar>
            <w:vAlign w:val="center"/>
          </w:tcPr>
          <w:p w14:paraId="1CD9980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14383-2008</w:t>
            </w:r>
          </w:p>
        </w:tc>
        <w:tc>
          <w:tcPr>
            <w:tcW w:w="4965" w:type="dxa"/>
            <w:tcBorders>
              <w:top w:val="nil"/>
              <w:left w:val="nil"/>
              <w:bottom w:val="nil"/>
              <w:right w:val="nil"/>
            </w:tcBorders>
            <w:shd w:val="clear" w:color="auto" w:fill="FFFFFF"/>
            <w:noWrap w:val="0"/>
            <w:tcMar>
              <w:top w:w="15" w:type="dxa"/>
              <w:left w:w="15" w:type="dxa"/>
              <w:right w:w="15" w:type="dxa"/>
            </w:tcMar>
            <w:vAlign w:val="bottom"/>
          </w:tcPr>
          <w:p w14:paraId="24E65997">
            <w:pPr>
              <w:keepNext w:val="0"/>
              <w:keepLines w:val="0"/>
              <w:widowControl/>
              <w:suppressLineNumbers w:val="0"/>
              <w:jc w:val="left"/>
              <w:textAlignment w:val="bottom"/>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锻钢制承插焊和螺纹管件</w:t>
            </w:r>
          </w:p>
        </w:tc>
      </w:tr>
      <w:tr w14:paraId="3E219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394A011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NB/T 47008-2017</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5A2612A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承压设备用碳素钢和合金钢锻件</w:t>
            </w:r>
          </w:p>
        </w:tc>
      </w:tr>
      <w:tr w14:paraId="2E348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051BD8B1">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NB/T 47010-2017</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0490AD6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承压设备用不锈钢和耐热钢锻件</w:t>
            </w:r>
          </w:p>
        </w:tc>
      </w:tr>
      <w:tr w14:paraId="6EB23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34D833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HG20592~20635-2009</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6ED1C9E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钢制管法兰、垫片、紧固件</w:t>
            </w:r>
          </w:p>
        </w:tc>
      </w:tr>
      <w:tr w14:paraId="39881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3D8F3F0C">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HG/T 21547-2016</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58E291F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管道用钢制插板、垫环、8字盲板系列</w:t>
            </w:r>
          </w:p>
        </w:tc>
      </w:tr>
      <w:tr w14:paraId="25755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0FDFB56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HG /T 20539-1992</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473D0882">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增强聚丙烯（FRPP）管和管件</w:t>
            </w:r>
          </w:p>
        </w:tc>
      </w:tr>
      <w:tr w14:paraId="14E77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389EDF5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Style w:val="16"/>
                <w:rFonts w:hint="default" w:ascii="Arial" w:hAnsi="Arial" w:eastAsia="宋体" w:cs="Arial"/>
                <w:color w:val="auto"/>
                <w:sz w:val="24"/>
                <w:szCs w:val="24"/>
                <w:highlight w:val="none"/>
                <w:shd w:val="clear" w:color="auto" w:fill="auto"/>
                <w:lang w:val="en-US" w:eastAsia="zh-CN" w:bidi="ar"/>
              </w:rPr>
              <w:t>HG/T21579</w:t>
            </w:r>
            <w:r>
              <w:rPr>
                <w:rStyle w:val="17"/>
                <w:rFonts w:hint="default" w:ascii="Arial" w:hAnsi="Arial" w:eastAsia="宋体" w:cs="Arial"/>
                <w:color w:val="auto"/>
                <w:sz w:val="24"/>
                <w:szCs w:val="24"/>
                <w:highlight w:val="none"/>
                <w:shd w:val="clear" w:color="auto" w:fill="auto"/>
                <w:lang w:val="en-US" w:eastAsia="zh-CN" w:bidi="ar"/>
              </w:rPr>
              <w:t>－</w:t>
            </w:r>
            <w:r>
              <w:rPr>
                <w:rStyle w:val="16"/>
                <w:rFonts w:hint="default" w:ascii="Arial" w:hAnsi="Arial" w:eastAsia="宋体" w:cs="Arial"/>
                <w:color w:val="auto"/>
                <w:sz w:val="24"/>
                <w:szCs w:val="24"/>
                <w:highlight w:val="none"/>
                <w:shd w:val="clear" w:color="auto" w:fill="auto"/>
                <w:lang w:val="en-US" w:eastAsia="zh-CN" w:bidi="ar"/>
              </w:rPr>
              <w:t>95</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760DD77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聚丙烯/玻璃钢（PP/FRP）复合管和管件</w:t>
            </w:r>
          </w:p>
        </w:tc>
      </w:tr>
      <w:tr w14:paraId="3DC92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0F360315">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699-2015</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7C5B8E1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优质碳素结构钢</w:t>
            </w:r>
          </w:p>
        </w:tc>
      </w:tr>
      <w:tr w14:paraId="4FC08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377F0F99">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711-2017</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4B180FB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优质碳素结构钢热轧钢板和钢带</w:t>
            </w:r>
          </w:p>
        </w:tc>
      </w:tr>
      <w:tr w14:paraId="1740C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650F94DB">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GB/T4237-2015</w:t>
            </w:r>
          </w:p>
        </w:tc>
        <w:tc>
          <w:tcPr>
            <w:tcW w:w="4965" w:type="dxa"/>
            <w:tcBorders>
              <w:top w:val="nil"/>
              <w:left w:val="nil"/>
              <w:bottom w:val="nil"/>
              <w:right w:val="nil"/>
            </w:tcBorders>
            <w:shd w:val="clear" w:color="auto" w:fill="FFFFFF"/>
            <w:noWrap w:val="0"/>
            <w:tcMar>
              <w:top w:w="15" w:type="dxa"/>
              <w:left w:w="15" w:type="dxa"/>
              <w:right w:w="15" w:type="dxa"/>
            </w:tcMar>
            <w:vAlign w:val="center"/>
          </w:tcPr>
          <w:p w14:paraId="4FD7664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不锈钢热轧钢板和钢带</w:t>
            </w:r>
          </w:p>
        </w:tc>
      </w:tr>
      <w:tr w14:paraId="0F4B8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7"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675B7D9E">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Style w:val="16"/>
                <w:rFonts w:hint="default" w:ascii="Arial" w:hAnsi="Arial" w:eastAsia="宋体" w:cs="Arial"/>
                <w:color w:val="auto"/>
                <w:sz w:val="24"/>
                <w:szCs w:val="24"/>
                <w:highlight w:val="none"/>
                <w:shd w:val="clear" w:color="auto" w:fill="auto"/>
                <w:lang w:val="en-US" w:eastAsia="zh-CN" w:bidi="ar"/>
              </w:rPr>
              <w:t>ASME</w:t>
            </w:r>
            <w:r>
              <w:rPr>
                <w:rFonts w:hint="default" w:ascii="Arial" w:hAnsi="Arial" w:eastAsia="宋体" w:cs="Arial"/>
                <w:i w:val="0"/>
                <w:color w:val="auto"/>
                <w:kern w:val="0"/>
                <w:sz w:val="24"/>
                <w:szCs w:val="24"/>
                <w:highlight w:val="none"/>
                <w:u w:val="none"/>
                <w:shd w:val="clear" w:color="auto" w:fill="auto"/>
                <w:lang w:val="en-US" w:eastAsia="zh-CN" w:bidi="ar"/>
              </w:rPr>
              <w:t xml:space="preserve"> SB-622</w:t>
            </w:r>
          </w:p>
        </w:tc>
        <w:tc>
          <w:tcPr>
            <w:tcW w:w="4965" w:type="dxa"/>
            <w:tcBorders>
              <w:top w:val="nil"/>
              <w:left w:val="nil"/>
              <w:bottom w:val="nil"/>
              <w:right w:val="nil"/>
            </w:tcBorders>
            <w:noWrap w:val="0"/>
            <w:tcMar>
              <w:top w:w="15" w:type="dxa"/>
              <w:left w:w="15" w:type="dxa"/>
              <w:right w:w="15" w:type="dxa"/>
            </w:tcMar>
            <w:vAlign w:val="center"/>
          </w:tcPr>
          <w:p w14:paraId="6FFD730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Seamless nickel and nickel-cobalt alloy pipe and tube</w:t>
            </w:r>
          </w:p>
        </w:tc>
      </w:tr>
      <w:tr w14:paraId="746E4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4683D7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ASME SB-366</w:t>
            </w:r>
          </w:p>
        </w:tc>
        <w:tc>
          <w:tcPr>
            <w:tcW w:w="4965" w:type="dxa"/>
            <w:tcBorders>
              <w:top w:val="nil"/>
              <w:left w:val="nil"/>
              <w:bottom w:val="nil"/>
              <w:right w:val="nil"/>
            </w:tcBorders>
            <w:noWrap w:val="0"/>
            <w:tcMar>
              <w:top w:w="15" w:type="dxa"/>
              <w:left w:w="15" w:type="dxa"/>
              <w:right w:w="15" w:type="dxa"/>
            </w:tcMar>
            <w:vAlign w:val="center"/>
          </w:tcPr>
          <w:p w14:paraId="1A415AD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Standard Specification for Factory-Made Wrought Nickel and Nickel Alloy Fittings</w:t>
            </w:r>
          </w:p>
        </w:tc>
      </w:tr>
      <w:tr w14:paraId="6BB9A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1602502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ASME B16.5</w:t>
            </w:r>
          </w:p>
        </w:tc>
        <w:tc>
          <w:tcPr>
            <w:tcW w:w="4965" w:type="dxa"/>
            <w:tcBorders>
              <w:top w:val="nil"/>
              <w:left w:val="nil"/>
              <w:bottom w:val="nil"/>
              <w:right w:val="nil"/>
            </w:tcBorders>
            <w:noWrap w:val="0"/>
            <w:tcMar>
              <w:top w:w="15" w:type="dxa"/>
              <w:left w:w="15" w:type="dxa"/>
              <w:right w:w="15" w:type="dxa"/>
            </w:tcMar>
            <w:vAlign w:val="center"/>
          </w:tcPr>
          <w:p w14:paraId="61A42D27">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Pipe Flanges And Flanged Fittings NPS 1/2 Through NPS 24 Metric/Inch Standard</w:t>
            </w:r>
          </w:p>
        </w:tc>
      </w:tr>
      <w:tr w14:paraId="4A964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6B10234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ASME B16.20</w:t>
            </w:r>
          </w:p>
        </w:tc>
        <w:tc>
          <w:tcPr>
            <w:tcW w:w="4965" w:type="dxa"/>
            <w:tcBorders>
              <w:top w:val="nil"/>
              <w:left w:val="nil"/>
              <w:bottom w:val="nil"/>
              <w:right w:val="nil"/>
            </w:tcBorders>
            <w:noWrap w:val="0"/>
            <w:tcMar>
              <w:top w:w="15" w:type="dxa"/>
              <w:left w:w="15" w:type="dxa"/>
              <w:right w:w="15" w:type="dxa"/>
            </w:tcMar>
            <w:vAlign w:val="center"/>
          </w:tcPr>
          <w:p w14:paraId="5E460FC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Metallic Gaskets for Pipe Flanges Ring-Joint Spiral-Wound, and Jacketed</w:t>
            </w:r>
          </w:p>
        </w:tc>
      </w:tr>
      <w:tr w14:paraId="4E625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73949CB7">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ASME B18.2.1</w:t>
            </w:r>
          </w:p>
        </w:tc>
        <w:tc>
          <w:tcPr>
            <w:tcW w:w="4965" w:type="dxa"/>
            <w:tcBorders>
              <w:top w:val="nil"/>
              <w:left w:val="nil"/>
              <w:bottom w:val="nil"/>
              <w:right w:val="nil"/>
            </w:tcBorders>
            <w:noWrap w:val="0"/>
            <w:tcMar>
              <w:top w:w="15" w:type="dxa"/>
              <w:left w:w="15" w:type="dxa"/>
              <w:right w:w="15" w:type="dxa"/>
            </w:tcMar>
            <w:vAlign w:val="center"/>
          </w:tcPr>
          <w:p w14:paraId="7B72CA5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Square and Hex Bolts and Screws (Inch Series)</w:t>
            </w:r>
          </w:p>
        </w:tc>
      </w:tr>
      <w:tr w14:paraId="3675F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8"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04076E02">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ASME B18.2.2</w:t>
            </w:r>
          </w:p>
        </w:tc>
        <w:tc>
          <w:tcPr>
            <w:tcW w:w="4965" w:type="dxa"/>
            <w:tcBorders>
              <w:top w:val="nil"/>
              <w:left w:val="nil"/>
              <w:bottom w:val="nil"/>
              <w:right w:val="nil"/>
            </w:tcBorders>
            <w:noWrap w:val="0"/>
            <w:tcMar>
              <w:top w:w="15" w:type="dxa"/>
              <w:left w:w="15" w:type="dxa"/>
              <w:right w:w="15" w:type="dxa"/>
            </w:tcMar>
            <w:vAlign w:val="center"/>
          </w:tcPr>
          <w:p w14:paraId="6041B2D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 xml:space="preserve">Nuts for General Applications Machine Screw Nuts, Hex, Square, Hex Flange, and </w:t>
            </w:r>
          </w:p>
        </w:tc>
      </w:tr>
      <w:tr w14:paraId="46784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9" w:hRule="atLeast"/>
        </w:trPr>
        <w:tc>
          <w:tcPr>
            <w:tcW w:w="3535" w:type="dxa"/>
            <w:tcBorders>
              <w:top w:val="nil"/>
              <w:left w:val="nil"/>
              <w:bottom w:val="nil"/>
              <w:right w:val="nil"/>
            </w:tcBorders>
            <w:shd w:val="clear" w:color="auto" w:fill="FFFFFF"/>
            <w:noWrap w:val="0"/>
            <w:tcMar>
              <w:top w:w="15" w:type="dxa"/>
              <w:left w:w="15" w:type="dxa"/>
              <w:right w:w="15" w:type="dxa"/>
            </w:tcMar>
            <w:vAlign w:val="center"/>
          </w:tcPr>
          <w:p w14:paraId="27715E0B">
            <w:pPr>
              <w:rPr>
                <w:rFonts w:hint="default" w:ascii="Arial" w:hAnsi="Arial" w:eastAsia="宋体" w:cs="Arial"/>
                <w:i w:val="0"/>
                <w:color w:val="auto"/>
                <w:sz w:val="24"/>
                <w:szCs w:val="24"/>
                <w:highlight w:val="none"/>
                <w:u w:val="none"/>
                <w:shd w:val="clear" w:color="auto" w:fill="auto"/>
              </w:rPr>
            </w:pPr>
          </w:p>
        </w:tc>
        <w:tc>
          <w:tcPr>
            <w:tcW w:w="4965" w:type="dxa"/>
            <w:tcBorders>
              <w:top w:val="nil"/>
              <w:left w:val="nil"/>
              <w:bottom w:val="nil"/>
              <w:right w:val="nil"/>
            </w:tcBorders>
            <w:noWrap w:val="0"/>
            <w:tcMar>
              <w:top w:w="15" w:type="dxa"/>
              <w:left w:w="15" w:type="dxa"/>
              <w:right w:w="15" w:type="dxa"/>
            </w:tcMar>
            <w:vAlign w:val="center"/>
          </w:tcPr>
          <w:p w14:paraId="7CA1D812">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Coupling Nuts (Inch Series)</w:t>
            </w:r>
          </w:p>
        </w:tc>
      </w:tr>
    </w:tbl>
    <w:p w14:paraId="10089927">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bookmarkStart w:id="75" w:name="2.3单位制"/>
      <w:bookmarkEnd w:id="75"/>
      <w:bookmarkStart w:id="76" w:name="_Toc19891"/>
      <w:r>
        <w:rPr>
          <w:rFonts w:hint="default" w:ascii="Arial" w:hAnsi="Arial" w:eastAsia="宋体" w:cs="Arial"/>
          <w:b/>
          <w:bCs/>
          <w:color w:val="auto"/>
          <w:sz w:val="24"/>
          <w:szCs w:val="24"/>
          <w:highlight w:val="none"/>
          <w:shd w:val="clear" w:color="auto" w:fill="auto"/>
          <w:lang w:val="en-US" w:eastAsia="zh-CN"/>
        </w:rPr>
        <w:t>2.3单位制</w:t>
      </w:r>
      <w:bookmarkEnd w:id="76"/>
    </w:p>
    <w:p w14:paraId="3EE6902C">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 xml:space="preserve">本设计采用SI 单位制(国际单位制），管道外径标准参照 HGT20553-2011 </w:t>
      </w:r>
      <w:r>
        <w:rPr>
          <w:rFonts w:hint="default" w:ascii="Arial" w:hAnsi="Arial" w:eastAsia="宋体" w:cs="Arial"/>
          <w:color w:val="auto"/>
          <w:spacing w:val="-3"/>
          <w:sz w:val="24"/>
          <w:szCs w:val="24"/>
          <w:highlight w:val="none"/>
          <w:shd w:val="clear" w:color="auto" w:fill="auto"/>
          <w:lang w:eastAsia="zh-CN"/>
        </w:rPr>
        <w:t>《</w:t>
      </w:r>
      <w:r>
        <w:rPr>
          <w:rFonts w:hint="default" w:ascii="Arial" w:hAnsi="Arial" w:eastAsia="宋体" w:cs="Arial"/>
          <w:color w:val="auto"/>
          <w:spacing w:val="-3"/>
          <w:sz w:val="24"/>
          <w:szCs w:val="24"/>
          <w:highlight w:val="none"/>
          <w:shd w:val="clear" w:color="auto" w:fill="auto"/>
        </w:rPr>
        <w:t>化工配管用无缝及焊接钢管尺寸选用系列</w:t>
      </w:r>
      <w:r>
        <w:rPr>
          <w:rFonts w:hint="default" w:ascii="Arial" w:hAnsi="Arial" w:eastAsia="宋体" w:cs="Arial"/>
          <w:color w:val="auto"/>
          <w:spacing w:val="-3"/>
          <w:sz w:val="24"/>
          <w:szCs w:val="24"/>
          <w:highlight w:val="none"/>
          <w:shd w:val="clear" w:color="auto" w:fill="auto"/>
          <w:lang w:eastAsia="zh-CN"/>
        </w:rPr>
        <w:t>》</w:t>
      </w:r>
      <w:r>
        <w:rPr>
          <w:rFonts w:hint="default" w:ascii="Arial" w:hAnsi="Arial" w:eastAsia="宋体" w:cs="Arial"/>
          <w:color w:val="auto"/>
          <w:spacing w:val="-3"/>
          <w:sz w:val="24"/>
          <w:szCs w:val="24"/>
          <w:highlight w:val="none"/>
          <w:shd w:val="clear" w:color="auto" w:fill="auto"/>
        </w:rPr>
        <w:t>中的规定。</w:t>
      </w:r>
    </w:p>
    <w:p w14:paraId="0710C820">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公制和英制尺寸及对应的外径对照见表 2.3-1。避免使用表格中不推荐使用的尺寸。如果设备管口采用上述尺寸时，与其相接的管道应使用合适的管件转换。</w:t>
      </w:r>
    </w:p>
    <w:p w14:paraId="26718BD0">
      <w:pPr>
        <w:spacing w:before="0" w:line="305" w:lineRule="exact"/>
        <w:ind w:left="3052" w:right="0" w:firstLine="0"/>
        <w:jc w:val="left"/>
        <w:rPr>
          <w:rFonts w:hint="default" w:ascii="Arial" w:hAnsi="Arial" w:eastAsia="宋体" w:cs="Arial"/>
          <w:color w:val="auto"/>
          <w:sz w:val="24"/>
          <w:highlight w:val="none"/>
          <w:shd w:val="clear" w:color="auto" w:fill="auto"/>
        </w:rPr>
      </w:pPr>
      <w:bookmarkStart w:id="77" w:name="表2.3-1：公制和英制尺寸的对照表"/>
      <w:bookmarkEnd w:id="77"/>
      <w:r>
        <w:rPr>
          <w:rFonts w:hint="default" w:ascii="Arial" w:hAnsi="Arial" w:eastAsia="宋体" w:cs="Arial"/>
          <w:color w:val="auto"/>
          <w:sz w:val="24"/>
          <w:highlight w:val="none"/>
          <w:shd w:val="clear" w:color="auto" w:fill="auto"/>
        </w:rPr>
        <w:t>表 2.3-1：公制和英制尺寸的对照表</w:t>
      </w:r>
    </w:p>
    <w:p w14:paraId="5EA99FE7">
      <w:pPr>
        <w:pStyle w:val="6"/>
        <w:spacing w:before="4"/>
        <w:rPr>
          <w:rFonts w:hint="default" w:ascii="Arial" w:hAnsi="Arial" w:eastAsia="宋体" w:cs="Arial"/>
          <w:color w:val="auto"/>
          <w:sz w:val="12"/>
          <w:highlight w:val="none"/>
          <w:shd w:val="clear" w:color="auto" w:fill="auto"/>
        </w:rPr>
      </w:pPr>
    </w:p>
    <w:tbl>
      <w:tblPr>
        <w:tblStyle w:val="11"/>
        <w:tblW w:w="0" w:type="auto"/>
        <w:tblInd w:w="4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44"/>
        <w:gridCol w:w="2844"/>
        <w:gridCol w:w="2846"/>
      </w:tblGrid>
      <w:tr w14:paraId="1783B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2844" w:type="dxa"/>
            <w:tcBorders>
              <w:bottom w:val="single" w:color="000000" w:sz="6" w:space="0"/>
              <w:right w:val="single" w:color="000000" w:sz="6" w:space="0"/>
            </w:tcBorders>
            <w:noWrap w:val="0"/>
            <w:vAlign w:val="top"/>
          </w:tcPr>
          <w:p w14:paraId="4FDF11B4">
            <w:pPr>
              <w:pStyle w:val="18"/>
              <w:spacing w:before="147"/>
              <w:ind w:left="866"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DN（mm）</w:t>
            </w:r>
          </w:p>
        </w:tc>
        <w:tc>
          <w:tcPr>
            <w:tcW w:w="2844" w:type="dxa"/>
            <w:tcBorders>
              <w:left w:val="single" w:color="000000" w:sz="6" w:space="0"/>
              <w:bottom w:val="single" w:color="000000" w:sz="6" w:space="0"/>
              <w:right w:val="single" w:color="000000" w:sz="6" w:space="0"/>
            </w:tcBorders>
            <w:noWrap w:val="0"/>
            <w:vAlign w:val="top"/>
          </w:tcPr>
          <w:p w14:paraId="2EDBD714">
            <w:pPr>
              <w:pStyle w:val="18"/>
              <w:spacing w:before="147"/>
              <w:ind w:left="671"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NPS（inches）</w:t>
            </w:r>
          </w:p>
        </w:tc>
        <w:tc>
          <w:tcPr>
            <w:tcW w:w="2846" w:type="dxa"/>
            <w:tcBorders>
              <w:left w:val="single" w:color="000000" w:sz="6" w:space="0"/>
              <w:bottom w:val="single" w:color="000000" w:sz="6" w:space="0"/>
            </w:tcBorders>
            <w:noWrap w:val="0"/>
            <w:vAlign w:val="top"/>
          </w:tcPr>
          <w:p w14:paraId="34A3F8B6">
            <w:pPr>
              <w:pStyle w:val="18"/>
              <w:spacing w:before="147"/>
              <w:ind w:left="947" w:right="935"/>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外径(mm)</w:t>
            </w:r>
          </w:p>
        </w:tc>
      </w:tr>
      <w:tr w14:paraId="34F9B5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39D6F903">
            <w:pPr>
              <w:pStyle w:val="18"/>
              <w:spacing w:before="160"/>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398D7945">
            <w:pPr>
              <w:pStyle w:val="18"/>
              <w:spacing w:before="160"/>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3/8</w:t>
            </w:r>
          </w:p>
        </w:tc>
        <w:tc>
          <w:tcPr>
            <w:tcW w:w="2846" w:type="dxa"/>
            <w:tcBorders>
              <w:top w:val="single" w:color="000000" w:sz="6" w:space="0"/>
              <w:left w:val="single" w:color="000000" w:sz="6" w:space="0"/>
              <w:bottom w:val="single" w:color="000000" w:sz="6" w:space="0"/>
            </w:tcBorders>
            <w:noWrap w:val="0"/>
            <w:vAlign w:val="top"/>
          </w:tcPr>
          <w:p w14:paraId="2BD2637D">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14</w:t>
            </w:r>
          </w:p>
        </w:tc>
      </w:tr>
      <w:tr w14:paraId="25E34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2844" w:type="dxa"/>
            <w:tcBorders>
              <w:top w:val="single" w:color="000000" w:sz="6" w:space="0"/>
              <w:bottom w:val="single" w:color="000000" w:sz="6" w:space="0"/>
              <w:right w:val="single" w:color="000000" w:sz="6" w:space="0"/>
            </w:tcBorders>
            <w:noWrap w:val="0"/>
            <w:vAlign w:val="top"/>
          </w:tcPr>
          <w:p w14:paraId="736917AC">
            <w:pPr>
              <w:pStyle w:val="18"/>
              <w:spacing w:before="162"/>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15</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49251A67">
            <w:pPr>
              <w:pStyle w:val="18"/>
              <w:spacing w:before="162"/>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1/2</w:t>
            </w:r>
          </w:p>
        </w:tc>
        <w:tc>
          <w:tcPr>
            <w:tcW w:w="2846" w:type="dxa"/>
            <w:tcBorders>
              <w:top w:val="single" w:color="000000" w:sz="6" w:space="0"/>
              <w:left w:val="single" w:color="000000" w:sz="6" w:space="0"/>
              <w:bottom w:val="single" w:color="000000" w:sz="6" w:space="0"/>
            </w:tcBorders>
            <w:noWrap w:val="0"/>
            <w:vAlign w:val="top"/>
          </w:tcPr>
          <w:p w14:paraId="71E7A277">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18</w:t>
            </w:r>
          </w:p>
        </w:tc>
      </w:tr>
      <w:tr w14:paraId="719EF3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22264DCC">
            <w:pPr>
              <w:pStyle w:val="18"/>
              <w:spacing w:before="160"/>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20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2BDF1339">
            <w:pPr>
              <w:pStyle w:val="18"/>
              <w:spacing w:before="160"/>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3/4</w:t>
            </w:r>
          </w:p>
        </w:tc>
        <w:tc>
          <w:tcPr>
            <w:tcW w:w="2846" w:type="dxa"/>
            <w:tcBorders>
              <w:top w:val="single" w:color="000000" w:sz="6" w:space="0"/>
              <w:left w:val="single" w:color="000000" w:sz="6" w:space="0"/>
              <w:bottom w:val="single" w:color="000000" w:sz="6" w:space="0"/>
            </w:tcBorders>
            <w:noWrap w:val="0"/>
            <w:vAlign w:val="top"/>
          </w:tcPr>
          <w:p w14:paraId="2EB22EB7">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25</w:t>
            </w:r>
          </w:p>
        </w:tc>
      </w:tr>
      <w:tr w14:paraId="7876A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739DE39B">
            <w:pPr>
              <w:pStyle w:val="18"/>
              <w:spacing w:before="162"/>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25</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469CDA5F">
            <w:pPr>
              <w:pStyle w:val="18"/>
              <w:spacing w:before="162"/>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1</w:t>
            </w:r>
          </w:p>
        </w:tc>
        <w:tc>
          <w:tcPr>
            <w:tcW w:w="2846" w:type="dxa"/>
            <w:tcBorders>
              <w:top w:val="single" w:color="000000" w:sz="6" w:space="0"/>
              <w:left w:val="single" w:color="000000" w:sz="6" w:space="0"/>
              <w:bottom w:val="single" w:color="000000" w:sz="6" w:space="0"/>
            </w:tcBorders>
            <w:noWrap w:val="0"/>
            <w:vAlign w:val="top"/>
          </w:tcPr>
          <w:p w14:paraId="49B77E1B">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32</w:t>
            </w:r>
          </w:p>
        </w:tc>
      </w:tr>
      <w:tr w14:paraId="632A6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2844" w:type="dxa"/>
            <w:tcBorders>
              <w:top w:val="single" w:color="000000" w:sz="6" w:space="0"/>
              <w:bottom w:val="single" w:color="000000" w:sz="6" w:space="0"/>
              <w:right w:val="single" w:color="000000" w:sz="6" w:space="0"/>
            </w:tcBorders>
            <w:noWrap w:val="0"/>
            <w:vAlign w:val="top"/>
          </w:tcPr>
          <w:p w14:paraId="126906CE">
            <w:pPr>
              <w:pStyle w:val="18"/>
              <w:spacing w:before="160"/>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*32</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2A9E73D7">
            <w:pPr>
              <w:pStyle w:val="18"/>
              <w:spacing w:before="160"/>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1-1/4</w:t>
            </w:r>
          </w:p>
        </w:tc>
        <w:tc>
          <w:tcPr>
            <w:tcW w:w="2846" w:type="dxa"/>
            <w:tcBorders>
              <w:top w:val="single" w:color="000000" w:sz="6" w:space="0"/>
              <w:left w:val="single" w:color="000000" w:sz="6" w:space="0"/>
              <w:bottom w:val="single" w:color="000000" w:sz="6" w:space="0"/>
            </w:tcBorders>
            <w:noWrap w:val="0"/>
            <w:vAlign w:val="top"/>
          </w:tcPr>
          <w:p w14:paraId="79113224">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38</w:t>
            </w:r>
          </w:p>
        </w:tc>
      </w:tr>
      <w:tr w14:paraId="769D7F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0037FBE7">
            <w:pPr>
              <w:pStyle w:val="18"/>
              <w:spacing w:before="162"/>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40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26FF5EAD">
            <w:pPr>
              <w:pStyle w:val="18"/>
              <w:spacing w:before="162"/>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1-1/2</w:t>
            </w:r>
          </w:p>
        </w:tc>
        <w:tc>
          <w:tcPr>
            <w:tcW w:w="2846" w:type="dxa"/>
            <w:tcBorders>
              <w:top w:val="single" w:color="000000" w:sz="6" w:space="0"/>
              <w:left w:val="single" w:color="000000" w:sz="6" w:space="0"/>
              <w:bottom w:val="single" w:color="000000" w:sz="6" w:space="0"/>
            </w:tcBorders>
            <w:noWrap w:val="0"/>
            <w:vAlign w:val="top"/>
          </w:tcPr>
          <w:p w14:paraId="7EFAA0D2">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45</w:t>
            </w:r>
          </w:p>
        </w:tc>
      </w:tr>
      <w:tr w14:paraId="12DA6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5DE2FE44">
            <w:pPr>
              <w:pStyle w:val="18"/>
              <w:spacing w:before="160"/>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50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31415E1F">
            <w:pPr>
              <w:pStyle w:val="18"/>
              <w:spacing w:before="160"/>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2</w:t>
            </w:r>
          </w:p>
        </w:tc>
        <w:tc>
          <w:tcPr>
            <w:tcW w:w="2846" w:type="dxa"/>
            <w:tcBorders>
              <w:top w:val="single" w:color="000000" w:sz="6" w:space="0"/>
              <w:left w:val="single" w:color="000000" w:sz="6" w:space="0"/>
              <w:bottom w:val="single" w:color="000000" w:sz="6" w:space="0"/>
            </w:tcBorders>
            <w:noWrap w:val="0"/>
            <w:vAlign w:val="top"/>
          </w:tcPr>
          <w:p w14:paraId="160F55AD">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57</w:t>
            </w:r>
          </w:p>
        </w:tc>
      </w:tr>
      <w:tr w14:paraId="5C11A9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2844" w:type="dxa"/>
            <w:tcBorders>
              <w:top w:val="single" w:color="000000" w:sz="6" w:space="0"/>
              <w:bottom w:val="single" w:color="000000" w:sz="6" w:space="0"/>
              <w:right w:val="single" w:color="000000" w:sz="6" w:space="0"/>
            </w:tcBorders>
            <w:noWrap w:val="0"/>
            <w:vAlign w:val="top"/>
          </w:tcPr>
          <w:p w14:paraId="4038B6DB">
            <w:pPr>
              <w:pStyle w:val="18"/>
              <w:spacing w:before="162"/>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*65</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13CC8F99">
            <w:pPr>
              <w:pStyle w:val="18"/>
              <w:spacing w:before="162"/>
              <w:ind w:left="667"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2 1/2</w:t>
            </w:r>
          </w:p>
        </w:tc>
        <w:tc>
          <w:tcPr>
            <w:tcW w:w="2846" w:type="dxa"/>
            <w:tcBorders>
              <w:top w:val="single" w:color="000000" w:sz="6" w:space="0"/>
              <w:left w:val="single" w:color="000000" w:sz="6" w:space="0"/>
              <w:bottom w:val="single" w:color="000000" w:sz="6" w:space="0"/>
            </w:tcBorders>
            <w:noWrap w:val="0"/>
            <w:vAlign w:val="top"/>
          </w:tcPr>
          <w:p w14:paraId="4422AE0C">
            <w:pPr>
              <w:pStyle w:val="18"/>
              <w:spacing w:before="162"/>
              <w:ind w:left="941"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76</w:t>
            </w:r>
          </w:p>
        </w:tc>
      </w:tr>
      <w:tr w14:paraId="201A60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7CFE3510">
            <w:pPr>
              <w:pStyle w:val="18"/>
              <w:spacing w:before="160"/>
              <w:ind w:left="865"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80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552B5786">
            <w:pPr>
              <w:pStyle w:val="18"/>
              <w:spacing w:before="160"/>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3</w:t>
            </w:r>
          </w:p>
        </w:tc>
        <w:tc>
          <w:tcPr>
            <w:tcW w:w="2846" w:type="dxa"/>
            <w:tcBorders>
              <w:top w:val="single" w:color="000000" w:sz="6" w:space="0"/>
              <w:left w:val="single" w:color="000000" w:sz="6" w:space="0"/>
              <w:bottom w:val="single" w:color="000000" w:sz="6" w:space="0"/>
            </w:tcBorders>
            <w:noWrap w:val="0"/>
            <w:vAlign w:val="top"/>
          </w:tcPr>
          <w:p w14:paraId="17B1FF22">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89</w:t>
            </w:r>
          </w:p>
        </w:tc>
      </w:tr>
      <w:tr w14:paraId="4E5F9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06A65719">
            <w:pPr>
              <w:pStyle w:val="18"/>
              <w:spacing w:before="162"/>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100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59BA4576">
            <w:pPr>
              <w:pStyle w:val="18"/>
              <w:spacing w:before="162"/>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4</w:t>
            </w:r>
          </w:p>
        </w:tc>
        <w:tc>
          <w:tcPr>
            <w:tcW w:w="2846" w:type="dxa"/>
            <w:tcBorders>
              <w:top w:val="single" w:color="000000" w:sz="6" w:space="0"/>
              <w:left w:val="single" w:color="000000" w:sz="6" w:space="0"/>
              <w:bottom w:val="single" w:color="000000" w:sz="6" w:space="0"/>
            </w:tcBorders>
            <w:noWrap w:val="0"/>
            <w:vAlign w:val="top"/>
          </w:tcPr>
          <w:p w14:paraId="3998C144">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108</w:t>
            </w:r>
          </w:p>
        </w:tc>
      </w:tr>
      <w:tr w14:paraId="72161F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0E3FC866">
            <w:pPr>
              <w:pStyle w:val="18"/>
              <w:spacing w:before="160"/>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*125</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2FCB3E67">
            <w:pPr>
              <w:pStyle w:val="18"/>
              <w:spacing w:before="160"/>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5</w:t>
            </w:r>
          </w:p>
        </w:tc>
        <w:tc>
          <w:tcPr>
            <w:tcW w:w="2846" w:type="dxa"/>
            <w:tcBorders>
              <w:top w:val="single" w:color="000000" w:sz="6" w:space="0"/>
              <w:left w:val="single" w:color="000000" w:sz="6" w:space="0"/>
              <w:bottom w:val="single" w:color="000000" w:sz="6" w:space="0"/>
            </w:tcBorders>
            <w:noWrap w:val="0"/>
            <w:vAlign w:val="top"/>
          </w:tcPr>
          <w:p w14:paraId="35B2CB98">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133</w:t>
            </w:r>
          </w:p>
        </w:tc>
      </w:tr>
      <w:tr w14:paraId="28E0C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1298C72B">
            <w:pPr>
              <w:pStyle w:val="18"/>
              <w:spacing w:before="162"/>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150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32FD684B">
            <w:pPr>
              <w:pStyle w:val="18"/>
              <w:spacing w:before="162"/>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6</w:t>
            </w:r>
          </w:p>
        </w:tc>
        <w:tc>
          <w:tcPr>
            <w:tcW w:w="2846" w:type="dxa"/>
            <w:tcBorders>
              <w:top w:val="single" w:color="000000" w:sz="6" w:space="0"/>
              <w:left w:val="single" w:color="000000" w:sz="6" w:space="0"/>
              <w:bottom w:val="single" w:color="000000" w:sz="6" w:space="0"/>
            </w:tcBorders>
            <w:noWrap w:val="0"/>
            <w:vAlign w:val="top"/>
          </w:tcPr>
          <w:p w14:paraId="7E71E6D4">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159</w:t>
            </w:r>
          </w:p>
        </w:tc>
      </w:tr>
      <w:tr w14:paraId="0F0F39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2844" w:type="dxa"/>
            <w:tcBorders>
              <w:top w:val="single" w:color="000000" w:sz="6" w:space="0"/>
              <w:bottom w:val="single" w:color="000000" w:sz="6" w:space="0"/>
              <w:right w:val="single" w:color="000000" w:sz="6" w:space="0"/>
            </w:tcBorders>
            <w:noWrap w:val="0"/>
            <w:vAlign w:val="top"/>
          </w:tcPr>
          <w:p w14:paraId="5B9DA1BA">
            <w:pPr>
              <w:pStyle w:val="18"/>
              <w:spacing w:before="160"/>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200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00835F7C">
            <w:pPr>
              <w:pStyle w:val="18"/>
              <w:spacing w:before="160"/>
              <w:ind w:left="10"/>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8</w:t>
            </w:r>
          </w:p>
        </w:tc>
        <w:tc>
          <w:tcPr>
            <w:tcW w:w="2846" w:type="dxa"/>
            <w:tcBorders>
              <w:top w:val="single" w:color="000000" w:sz="6" w:space="0"/>
              <w:left w:val="single" w:color="000000" w:sz="6" w:space="0"/>
              <w:bottom w:val="single" w:color="000000" w:sz="6" w:space="0"/>
            </w:tcBorders>
            <w:noWrap w:val="0"/>
            <w:vAlign w:val="top"/>
          </w:tcPr>
          <w:p w14:paraId="386F7580">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219</w:t>
            </w:r>
          </w:p>
        </w:tc>
      </w:tr>
      <w:tr w14:paraId="53F3A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bottom w:val="single" w:color="000000" w:sz="6" w:space="0"/>
              <w:right w:val="single" w:color="000000" w:sz="6" w:space="0"/>
            </w:tcBorders>
            <w:noWrap w:val="0"/>
            <w:vAlign w:val="top"/>
          </w:tcPr>
          <w:p w14:paraId="13099679">
            <w:pPr>
              <w:pStyle w:val="18"/>
              <w:spacing w:before="162"/>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250</w:t>
            </w:r>
          </w:p>
        </w:tc>
        <w:tc>
          <w:tcPr>
            <w:tcW w:w="2844" w:type="dxa"/>
            <w:tcBorders>
              <w:top w:val="single" w:color="000000" w:sz="6" w:space="0"/>
              <w:left w:val="single" w:color="000000" w:sz="6" w:space="0"/>
              <w:bottom w:val="single" w:color="000000" w:sz="6" w:space="0"/>
              <w:right w:val="single" w:color="000000" w:sz="6" w:space="0"/>
            </w:tcBorders>
            <w:noWrap w:val="0"/>
            <w:vAlign w:val="top"/>
          </w:tcPr>
          <w:p w14:paraId="16641A9E">
            <w:pPr>
              <w:pStyle w:val="18"/>
              <w:spacing w:before="162"/>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10</w:t>
            </w:r>
          </w:p>
        </w:tc>
        <w:tc>
          <w:tcPr>
            <w:tcW w:w="2846" w:type="dxa"/>
            <w:tcBorders>
              <w:top w:val="single" w:color="000000" w:sz="6" w:space="0"/>
              <w:left w:val="single" w:color="000000" w:sz="6" w:space="0"/>
              <w:bottom w:val="single" w:color="000000" w:sz="6" w:space="0"/>
            </w:tcBorders>
            <w:noWrap w:val="0"/>
            <w:vAlign w:val="top"/>
          </w:tcPr>
          <w:p w14:paraId="31102887">
            <w:pPr>
              <w:pStyle w:val="18"/>
              <w:spacing w:before="162"/>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273</w:t>
            </w:r>
          </w:p>
        </w:tc>
      </w:tr>
      <w:tr w14:paraId="592B9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trPr>
        <w:tc>
          <w:tcPr>
            <w:tcW w:w="2844" w:type="dxa"/>
            <w:tcBorders>
              <w:top w:val="single" w:color="000000" w:sz="6" w:space="0"/>
              <w:right w:val="single" w:color="000000" w:sz="6" w:space="0"/>
            </w:tcBorders>
            <w:noWrap w:val="0"/>
            <w:vAlign w:val="top"/>
          </w:tcPr>
          <w:p w14:paraId="1A0C20A7">
            <w:pPr>
              <w:pStyle w:val="18"/>
              <w:spacing w:before="160"/>
              <w:ind w:left="862" w:right="85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300</w:t>
            </w:r>
          </w:p>
        </w:tc>
        <w:tc>
          <w:tcPr>
            <w:tcW w:w="2844" w:type="dxa"/>
            <w:tcBorders>
              <w:top w:val="single" w:color="000000" w:sz="6" w:space="0"/>
              <w:left w:val="single" w:color="000000" w:sz="6" w:space="0"/>
              <w:right w:val="single" w:color="000000" w:sz="6" w:space="0"/>
            </w:tcBorders>
            <w:noWrap w:val="0"/>
            <w:vAlign w:val="top"/>
          </w:tcPr>
          <w:p w14:paraId="5F76F236">
            <w:pPr>
              <w:pStyle w:val="18"/>
              <w:spacing w:before="160"/>
              <w:ind w:left="669" w:right="6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12</w:t>
            </w:r>
          </w:p>
        </w:tc>
        <w:tc>
          <w:tcPr>
            <w:tcW w:w="2846" w:type="dxa"/>
            <w:tcBorders>
              <w:top w:val="single" w:color="000000" w:sz="6" w:space="0"/>
              <w:left w:val="single" w:color="000000" w:sz="6" w:space="0"/>
            </w:tcBorders>
            <w:noWrap w:val="0"/>
            <w:vAlign w:val="top"/>
          </w:tcPr>
          <w:p w14:paraId="2EBE384A">
            <w:pPr>
              <w:pStyle w:val="18"/>
              <w:spacing w:before="160"/>
              <w:ind w:left="943" w:right="935"/>
              <w:rPr>
                <w:rFonts w:hint="default" w:ascii="Arial" w:hAnsi="Arial" w:eastAsia="宋体" w:cs="Arial"/>
                <w:color w:val="auto"/>
                <w:sz w:val="21"/>
                <w:szCs w:val="21"/>
                <w:highlight w:val="none"/>
                <w:shd w:val="clear" w:color="auto" w:fill="auto"/>
                <w:lang w:val="en-US" w:eastAsia="zh-CN"/>
              </w:rPr>
            </w:pPr>
            <w:r>
              <w:rPr>
                <w:rFonts w:hint="default" w:ascii="Arial" w:hAnsi="Arial" w:eastAsia="宋体" w:cs="Arial"/>
                <w:color w:val="auto"/>
                <w:sz w:val="21"/>
                <w:szCs w:val="21"/>
                <w:highlight w:val="none"/>
                <w:shd w:val="clear" w:color="auto" w:fill="auto"/>
                <w:lang w:val="en-US" w:eastAsia="zh-CN"/>
              </w:rPr>
              <w:t>325</w:t>
            </w:r>
          </w:p>
        </w:tc>
      </w:tr>
    </w:tbl>
    <w:p w14:paraId="049775DC">
      <w:pPr>
        <w:pStyle w:val="6"/>
        <w:rPr>
          <w:rFonts w:hint="default" w:ascii="Arial" w:hAnsi="Arial" w:eastAsia="宋体" w:cs="Arial"/>
          <w:color w:val="auto"/>
          <w:sz w:val="10"/>
          <w:highlight w:val="none"/>
          <w:shd w:val="clear" w:color="auto" w:fill="auto"/>
        </w:rPr>
      </w:pPr>
    </w:p>
    <w:p w14:paraId="12231DD2">
      <w:pPr>
        <w:spacing w:before="79"/>
        <w:ind w:left="517" w:right="0" w:firstLine="0"/>
        <w:jc w:val="left"/>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注：*不推荐使用的尺寸</w:t>
      </w:r>
    </w:p>
    <w:p w14:paraId="12BFAD49">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78" w:name="2.4管道材料一般规定"/>
      <w:bookmarkEnd w:id="78"/>
      <w:bookmarkStart w:id="79" w:name="_Toc2475"/>
      <w:r>
        <w:rPr>
          <w:rFonts w:hint="default" w:ascii="Arial" w:hAnsi="Arial" w:eastAsia="宋体" w:cs="Arial"/>
          <w:b/>
          <w:bCs/>
          <w:color w:val="auto"/>
          <w:sz w:val="24"/>
          <w:szCs w:val="24"/>
          <w:highlight w:val="none"/>
          <w:shd w:val="clear" w:color="auto" w:fill="auto"/>
          <w:lang w:val="en-US" w:eastAsia="zh-CN"/>
        </w:rPr>
        <w:t>2.4管道材料一般规定</w:t>
      </w:r>
      <w:bookmarkEnd w:id="79"/>
    </w:p>
    <w:p w14:paraId="66A81B31">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选用国内材料的管道材料的设计、安装、检验以及类别划分应按照TSG  D0001-2009《压力管道安全技术监察规程—工业管道》、 GB/T20801-2006《压力管道规范 工业管道》、GB/T 50316-2000(2008 版）《工业金属管道设计规范》、SH 3501-2011《石油化工有毒、可燃介质钢制管道工程施工及验收规范》、GB 50517-2010《石油化工金属管道工程施工质量验收规范》的有关规定执行。选用美标材料的管道应按照 ASME B31.3、B31.1 等标准和规范进行设计、制造、焊接、热处理、检验和试验。</w:t>
      </w:r>
    </w:p>
    <w:p w14:paraId="6F67D95F">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lang w:eastAsia="zh-CN"/>
        </w:rPr>
        <w:t>本项目管道、管件、法兰、垫片、紧固件、阀门等制造及材料标准参见本文</w:t>
      </w:r>
      <w:r>
        <w:rPr>
          <w:rFonts w:hint="default" w:ascii="Arial" w:hAnsi="Arial" w:eastAsia="宋体" w:cs="Arial"/>
          <w:bCs/>
          <w:color w:val="auto"/>
          <w:spacing w:val="-2"/>
          <w:sz w:val="24"/>
          <w:szCs w:val="22"/>
          <w:highlight w:val="none"/>
          <w:shd w:val="clear" w:color="auto" w:fill="auto"/>
          <w:lang w:val="en-US" w:eastAsia="zh-CN"/>
        </w:rPr>
        <w:t>2.2标准、规范章节。</w:t>
      </w:r>
    </w:p>
    <w:p w14:paraId="406A62E1">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含碳量超过0.30%的碳钢不能使用采用氧气切割或者热切割工艺成型的焊接结构或配管材料。</w:t>
      </w:r>
    </w:p>
    <w:p w14:paraId="50F87D60">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输送极度危险介质、高度危险介质及液化烃的压力管道应采用优质钢制造，输送可燃介质的管道不得采用沸腾钢制造。</w:t>
      </w:r>
    </w:p>
    <w:p w14:paraId="6BC2B6C6">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在工艺装置区内螺旋焊接管仅限用于水。螺旋焊缝应为双面埋弧焊。</w:t>
      </w:r>
    </w:p>
    <w:p w14:paraId="10A14D61">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输送腐蚀性介质管道用材料应有耐腐蚀能力。除晶间腐蚀和其它局部性腐蚀需按具体情况考虑外，均匀腐蚀可根据介质对金属材料的腐蚀速率选用</w:t>
      </w:r>
      <w:bookmarkStart w:id="80" w:name="_Toc472374329"/>
      <w:bookmarkStart w:id="81" w:name="_Toc472374607"/>
      <w:bookmarkStart w:id="82" w:name="_Toc472335233"/>
      <w:r>
        <w:rPr>
          <w:rFonts w:hint="default" w:ascii="Arial" w:hAnsi="Arial" w:eastAsia="宋体" w:cs="Arial"/>
          <w:bCs/>
          <w:color w:val="auto"/>
          <w:spacing w:val="-2"/>
          <w:sz w:val="24"/>
          <w:szCs w:val="22"/>
          <w:highlight w:val="none"/>
          <w:shd w:val="clear" w:color="auto" w:fill="auto"/>
        </w:rPr>
        <w:t>。</w:t>
      </w:r>
    </w:p>
    <w:p w14:paraId="1791A3C2">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应尽量避免异种钢的焊接。如果两种金属焊接，应进行 100 %的射线检验及焊接工艺评定。</w:t>
      </w:r>
      <w:bookmarkEnd w:id="80"/>
      <w:bookmarkEnd w:id="81"/>
      <w:bookmarkEnd w:id="82"/>
    </w:p>
    <w:p w14:paraId="14336C73">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管道材料等级中所包括的配管材料规格是根据工艺和公用工程配管系统中的介质、压力、温度和腐蚀裕度确定的。</w:t>
      </w:r>
    </w:p>
    <w:p w14:paraId="46AEEBF8">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在满足每个具体的管道材料等级设计条件的前提下，允许对该等级表中规定的材料进行代用，但是代用材料必须相当或优于原设计选用的材料，并应得到业主/设计方的认可。</w:t>
      </w:r>
    </w:p>
    <w:p w14:paraId="5F01347D">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bookmarkStart w:id="83" w:name="2.4.1管子"/>
      <w:bookmarkEnd w:id="83"/>
      <w:r>
        <w:rPr>
          <w:rFonts w:hint="default" w:ascii="Arial" w:hAnsi="Arial" w:eastAsia="宋体" w:cs="Arial"/>
          <w:bCs/>
          <w:color w:val="auto"/>
          <w:spacing w:val="-2"/>
          <w:sz w:val="24"/>
          <w:szCs w:val="22"/>
          <w:highlight w:val="none"/>
          <w:shd w:val="clear" w:color="auto" w:fill="auto"/>
        </w:rPr>
        <w:t xml:space="preserve">工艺和公用工程管道采用 HGT20553-2011 </w:t>
      </w:r>
      <w:r>
        <w:rPr>
          <w:rFonts w:hint="default" w:ascii="Arial" w:hAnsi="Arial" w:eastAsia="宋体" w:cs="Arial"/>
          <w:bCs/>
          <w:color w:val="auto"/>
          <w:spacing w:val="-2"/>
          <w:sz w:val="24"/>
          <w:szCs w:val="22"/>
          <w:highlight w:val="none"/>
          <w:shd w:val="clear" w:color="auto" w:fill="auto"/>
          <w:lang w:eastAsia="zh-CN"/>
        </w:rPr>
        <w:t>《</w:t>
      </w:r>
      <w:r>
        <w:rPr>
          <w:rFonts w:hint="default" w:ascii="Arial" w:hAnsi="Arial" w:eastAsia="宋体" w:cs="Arial"/>
          <w:bCs/>
          <w:color w:val="auto"/>
          <w:spacing w:val="-2"/>
          <w:sz w:val="24"/>
          <w:szCs w:val="22"/>
          <w:highlight w:val="none"/>
          <w:shd w:val="clear" w:color="auto" w:fill="auto"/>
        </w:rPr>
        <w:t>化工配管用无缝及焊接钢管尺寸选用系列</w:t>
      </w:r>
      <w:r>
        <w:rPr>
          <w:rFonts w:hint="default" w:ascii="Arial" w:hAnsi="Arial" w:eastAsia="宋体" w:cs="Arial"/>
          <w:bCs/>
          <w:color w:val="auto"/>
          <w:spacing w:val="-2"/>
          <w:sz w:val="24"/>
          <w:szCs w:val="22"/>
          <w:highlight w:val="none"/>
          <w:shd w:val="clear" w:color="auto" w:fill="auto"/>
          <w:lang w:eastAsia="zh-CN"/>
        </w:rPr>
        <w:t>》</w:t>
      </w:r>
      <w:r>
        <w:rPr>
          <w:rFonts w:hint="default" w:ascii="Arial" w:hAnsi="Arial" w:eastAsia="宋体" w:cs="Arial"/>
          <w:bCs/>
          <w:color w:val="auto"/>
          <w:spacing w:val="-2"/>
          <w:sz w:val="24"/>
          <w:szCs w:val="22"/>
          <w:highlight w:val="none"/>
          <w:shd w:val="clear" w:color="auto" w:fill="auto"/>
        </w:rPr>
        <w:t>标准。管道壁厚按照GB/T 20801-2006《压力管道规范 工业管道》计算。壁厚计算应以设计压力-温度条件，以及腐蚀或磨蚀裕量和机械加工附加量所要求的最小壁厚为依据。壁厚计算应按设计压力和设计温度相偶合时最严重条件下某一条管道的压力和温度条件进行设计。</w:t>
      </w:r>
    </w:p>
    <w:p w14:paraId="55B2921A">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bookmarkStart w:id="84" w:name="2.4.2管件"/>
      <w:bookmarkEnd w:id="84"/>
      <w:r>
        <w:rPr>
          <w:rFonts w:hint="default" w:ascii="Arial" w:hAnsi="Arial" w:eastAsia="宋体" w:cs="Arial"/>
          <w:bCs/>
          <w:color w:val="auto"/>
          <w:spacing w:val="-2"/>
          <w:sz w:val="24"/>
          <w:szCs w:val="22"/>
          <w:highlight w:val="none"/>
          <w:shd w:val="clear" w:color="auto" w:fill="auto"/>
        </w:rPr>
        <w:t>在官方标准中不能涵盖的管</w:t>
      </w:r>
      <w:r>
        <w:rPr>
          <w:rFonts w:hint="default" w:ascii="Arial" w:hAnsi="Arial" w:eastAsia="宋体" w:cs="Arial"/>
          <w:bCs/>
          <w:color w:val="auto"/>
          <w:spacing w:val="-2"/>
          <w:sz w:val="24"/>
          <w:szCs w:val="22"/>
          <w:highlight w:val="none"/>
          <w:shd w:val="clear" w:color="auto" w:fill="auto"/>
          <w:lang w:eastAsia="zh-CN"/>
        </w:rPr>
        <w:t>道元件</w:t>
      </w:r>
      <w:r>
        <w:rPr>
          <w:rFonts w:hint="default" w:ascii="Arial" w:hAnsi="Arial" w:eastAsia="宋体" w:cs="Arial"/>
          <w:bCs/>
          <w:color w:val="auto"/>
          <w:spacing w:val="-2"/>
          <w:sz w:val="24"/>
          <w:szCs w:val="22"/>
          <w:highlight w:val="none"/>
          <w:shd w:val="clear" w:color="auto" w:fill="auto"/>
        </w:rPr>
        <w:t>其尺寸要求应遵循设计或制造商标准</w:t>
      </w:r>
      <w:r>
        <w:rPr>
          <w:rFonts w:hint="default" w:ascii="Arial" w:hAnsi="Arial" w:eastAsia="宋体" w:cs="Arial"/>
          <w:bCs/>
          <w:color w:val="auto"/>
          <w:spacing w:val="-2"/>
          <w:sz w:val="24"/>
          <w:szCs w:val="22"/>
          <w:highlight w:val="none"/>
          <w:shd w:val="clear" w:color="auto" w:fill="auto"/>
          <w:lang w:eastAsia="zh-CN"/>
        </w:rPr>
        <w:t>，并需经买方批准</w:t>
      </w:r>
      <w:r>
        <w:rPr>
          <w:rFonts w:hint="default" w:ascii="Arial" w:hAnsi="Arial" w:eastAsia="宋体" w:cs="Arial"/>
          <w:bCs/>
          <w:color w:val="auto"/>
          <w:spacing w:val="-2"/>
          <w:sz w:val="24"/>
          <w:szCs w:val="22"/>
          <w:highlight w:val="none"/>
          <w:shd w:val="clear" w:color="auto" w:fill="auto"/>
        </w:rPr>
        <w:t>。</w:t>
      </w:r>
    </w:p>
    <w:p w14:paraId="0AACDC22">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管道材料等级表中管道的连接形式以工艺物料特性和工艺要求而定。连接形式有：螺纹连接、承插焊连接、对焊连接和法兰连接，承插焊用于≤DN40 管件，对焊用于公称直径＞DN40 的管件， 螺纹管件用于公称直径≤DN40 的管件。</w:t>
      </w:r>
    </w:p>
    <w:p w14:paraId="68BA1B51">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lang w:eastAsia="zh-CN"/>
        </w:rPr>
      </w:pPr>
      <w:bookmarkStart w:id="85" w:name="2.4.3法兰"/>
      <w:bookmarkEnd w:id="85"/>
      <w:r>
        <w:rPr>
          <w:rFonts w:hint="default" w:ascii="Arial" w:hAnsi="Arial" w:eastAsia="宋体" w:cs="Arial"/>
          <w:bCs/>
          <w:color w:val="auto"/>
          <w:spacing w:val="-2"/>
          <w:sz w:val="24"/>
          <w:szCs w:val="22"/>
          <w:highlight w:val="none"/>
          <w:shd w:val="clear" w:color="auto" w:fill="auto"/>
          <w:lang w:eastAsia="zh-CN"/>
        </w:rPr>
        <w:t>设备专业的管嘴法兰应选用与配管专业相匹配的法兰。其余设备专业内部所使用的法兰标准按本专业规定执行。</w:t>
      </w:r>
    </w:p>
    <w:p w14:paraId="7BC61CB5">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lang w:eastAsia="zh-CN"/>
        </w:rPr>
      </w:pPr>
      <w:r>
        <w:rPr>
          <w:rFonts w:hint="default" w:ascii="Arial" w:hAnsi="Arial" w:eastAsia="宋体" w:cs="Arial"/>
          <w:bCs/>
          <w:color w:val="auto"/>
          <w:spacing w:val="-2"/>
          <w:sz w:val="24"/>
          <w:szCs w:val="22"/>
          <w:highlight w:val="none"/>
          <w:shd w:val="clear" w:color="auto" w:fill="auto"/>
          <w:lang w:eastAsia="zh-CN"/>
        </w:rPr>
        <w:t>管道法兰的密封面应与其对接的阀门和设备管嘴法兰的密封面相匹配，与非标设备接管配对的法兰(含垫片、紧固件）由设备厂家提供。</w:t>
      </w:r>
    </w:p>
    <w:p w14:paraId="01440937">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lang w:eastAsia="zh-CN"/>
        </w:rPr>
      </w:pPr>
      <w:r>
        <w:rPr>
          <w:rFonts w:hint="default" w:ascii="Arial" w:hAnsi="Arial" w:eastAsia="宋体" w:cs="Arial"/>
          <w:bCs/>
          <w:color w:val="auto"/>
          <w:spacing w:val="-2"/>
          <w:sz w:val="24"/>
          <w:szCs w:val="22"/>
          <w:highlight w:val="none"/>
          <w:shd w:val="clear" w:color="auto" w:fill="auto"/>
          <w:lang w:eastAsia="zh-CN"/>
        </w:rPr>
        <w:t>与工艺管道直接连接的仪表如调节阀、流量计等的法兰，在设备或工艺管线上取样用的法兰和阀门、以及高压部分的仪表用法兰和阀门应与管道专业所使用的法兰或与设备专业所使用的法兰一致。其余仪表专业内部所使用的法兰标准按本专业规定执行。当仪表与设备或管道连接不能保证与设备和管道所用法兰一致时，其配对法兰(含垫片、紧固件）由仪表专业提供。</w:t>
      </w:r>
    </w:p>
    <w:p w14:paraId="4E85250B">
      <w:pPr>
        <w:keepNext w:val="0"/>
        <w:keepLines w:val="0"/>
        <w:pageBreakBefore w:val="0"/>
        <w:widowControl/>
        <w:numPr>
          <w:ilvl w:val="0"/>
          <w:numId w:val="5"/>
        </w:numPr>
        <w:tabs>
          <w:tab w:val="left" w:pos="0"/>
        </w:tabs>
        <w:kinsoku/>
        <w:wordWrap/>
        <w:overflowPunct/>
        <w:topLinePunct w:val="0"/>
        <w:autoSpaceDE/>
        <w:autoSpaceDN/>
        <w:bidi w:val="0"/>
        <w:adjustRightInd/>
        <w:snapToGrid/>
        <w:spacing w:line="360" w:lineRule="auto"/>
        <w:ind w:left="0" w:leftChars="0" w:firstLine="472" w:firstLineChars="200"/>
        <w:textAlignment w:val="auto"/>
        <w:outlineLvl w:val="9"/>
        <w:rPr>
          <w:rFonts w:hint="default" w:ascii="Arial" w:hAnsi="Arial" w:eastAsia="宋体" w:cs="Arial"/>
          <w:bCs/>
          <w:color w:val="auto"/>
          <w:spacing w:val="-2"/>
          <w:sz w:val="24"/>
          <w:szCs w:val="22"/>
          <w:highlight w:val="none"/>
          <w:shd w:val="clear" w:color="auto" w:fill="auto"/>
          <w:lang w:eastAsia="zh-CN"/>
        </w:rPr>
      </w:pPr>
      <w:r>
        <w:rPr>
          <w:rFonts w:hint="default" w:ascii="Arial" w:hAnsi="Arial" w:eastAsia="宋体" w:cs="Arial"/>
          <w:bCs/>
          <w:color w:val="auto"/>
          <w:spacing w:val="-2"/>
          <w:sz w:val="24"/>
          <w:szCs w:val="22"/>
          <w:highlight w:val="none"/>
          <w:shd w:val="clear" w:color="auto" w:fill="auto"/>
          <w:lang w:eastAsia="zh-CN"/>
        </w:rPr>
        <w:t>阀门的齿轮操作机构应按照最大传输压力基准设计。这类阀门的关闭试验压力应小于管线的最大设计压力。但是，除了阀门的齿轮操作机构外，阀门的其它部件应按照全压力等级来设计。阀门的关闭试验压力应按照 API 598 规定。提供的手动齿轮操作机构的压力等级和尺寸如表 2.4</w:t>
      </w:r>
      <w:r>
        <w:rPr>
          <w:rFonts w:hint="default" w:ascii="Arial" w:hAnsi="Arial" w:eastAsia="宋体" w:cs="Arial"/>
          <w:bCs/>
          <w:color w:val="auto"/>
          <w:spacing w:val="-2"/>
          <w:sz w:val="24"/>
          <w:szCs w:val="22"/>
          <w:highlight w:val="none"/>
          <w:shd w:val="clear" w:color="auto" w:fill="auto"/>
          <w:lang w:val="en-US" w:eastAsia="zh-CN"/>
        </w:rPr>
        <w:t>-</w:t>
      </w:r>
      <w:r>
        <w:rPr>
          <w:rFonts w:hint="default" w:ascii="Arial" w:hAnsi="Arial" w:eastAsia="宋体" w:cs="Arial"/>
          <w:bCs/>
          <w:color w:val="auto"/>
          <w:spacing w:val="-2"/>
          <w:sz w:val="24"/>
          <w:szCs w:val="22"/>
          <w:highlight w:val="none"/>
          <w:shd w:val="clear" w:color="auto" w:fill="auto"/>
          <w:lang w:eastAsia="zh-CN"/>
        </w:rPr>
        <w:t>1 所列。但是，将手轮或手柄开到一半的位置时的操作力不能超过 35 Kgf。</w:t>
      </w:r>
    </w:p>
    <w:p w14:paraId="4392F3D5">
      <w:pPr>
        <w:spacing w:before="245" w:after="20"/>
        <w:ind w:left="2272" w:right="0" w:firstLine="0"/>
        <w:jc w:val="left"/>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2.4</w:t>
      </w:r>
      <w:r>
        <w:rPr>
          <w:rFonts w:hint="default" w:ascii="Arial" w:hAnsi="Arial" w:eastAsia="宋体" w:cs="Arial"/>
          <w:color w:val="auto"/>
          <w:sz w:val="24"/>
          <w:highlight w:val="none"/>
          <w:shd w:val="clear" w:color="auto" w:fill="auto"/>
          <w:lang w:val="en-US" w:eastAsia="zh-CN"/>
        </w:rPr>
        <w:t>-1</w:t>
      </w:r>
      <w:r>
        <w:rPr>
          <w:rFonts w:hint="default" w:ascii="Arial" w:hAnsi="Arial" w:eastAsia="宋体" w:cs="Arial"/>
          <w:color w:val="auto"/>
          <w:sz w:val="24"/>
          <w:highlight w:val="none"/>
          <w:shd w:val="clear" w:color="auto" w:fill="auto"/>
        </w:rPr>
        <w:t>：手动齿轮操作机构的压力等级和尺寸表</w:t>
      </w:r>
    </w:p>
    <w:tbl>
      <w:tblPr>
        <w:tblStyle w:val="11"/>
        <w:tblW w:w="0" w:type="auto"/>
        <w:tblInd w:w="4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5"/>
        <w:gridCol w:w="1431"/>
        <w:gridCol w:w="1429"/>
        <w:gridCol w:w="1430"/>
        <w:gridCol w:w="1429"/>
        <w:gridCol w:w="1430"/>
      </w:tblGrid>
      <w:tr w14:paraId="096C4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85" w:type="dxa"/>
            <w:noWrap w:val="0"/>
            <w:vAlign w:val="top"/>
          </w:tcPr>
          <w:p w14:paraId="718C85AF">
            <w:pPr>
              <w:pStyle w:val="18"/>
              <w:spacing w:before="142"/>
              <w:ind w:left="251" w:right="244"/>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压力等级</w:t>
            </w:r>
          </w:p>
        </w:tc>
        <w:tc>
          <w:tcPr>
            <w:tcW w:w="1431" w:type="dxa"/>
            <w:noWrap w:val="0"/>
            <w:vAlign w:val="top"/>
          </w:tcPr>
          <w:p w14:paraId="0111AB47">
            <w:pPr>
              <w:pStyle w:val="18"/>
              <w:spacing w:before="142"/>
              <w:ind w:left="260" w:right="254"/>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闸阀</w:t>
            </w:r>
          </w:p>
        </w:tc>
        <w:tc>
          <w:tcPr>
            <w:tcW w:w="1429" w:type="dxa"/>
            <w:noWrap w:val="0"/>
            <w:vAlign w:val="top"/>
          </w:tcPr>
          <w:p w14:paraId="0190FBFB">
            <w:pPr>
              <w:pStyle w:val="18"/>
              <w:spacing w:before="142"/>
              <w:ind w:left="259" w:right="252"/>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截止阀</w:t>
            </w:r>
          </w:p>
        </w:tc>
        <w:tc>
          <w:tcPr>
            <w:tcW w:w="1430" w:type="dxa"/>
            <w:noWrap w:val="0"/>
            <w:vAlign w:val="top"/>
          </w:tcPr>
          <w:p w14:paraId="4E71C188">
            <w:pPr>
              <w:pStyle w:val="18"/>
              <w:spacing w:before="142"/>
              <w:ind w:left="261" w:right="253"/>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旋塞阀</w:t>
            </w:r>
          </w:p>
        </w:tc>
        <w:tc>
          <w:tcPr>
            <w:tcW w:w="1429" w:type="dxa"/>
            <w:noWrap w:val="0"/>
            <w:vAlign w:val="top"/>
          </w:tcPr>
          <w:p w14:paraId="53A2A9A4">
            <w:pPr>
              <w:pStyle w:val="18"/>
              <w:spacing w:before="142"/>
              <w:ind w:left="257" w:right="252"/>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蝶阀</w:t>
            </w:r>
          </w:p>
        </w:tc>
        <w:tc>
          <w:tcPr>
            <w:tcW w:w="1430" w:type="dxa"/>
            <w:noWrap w:val="0"/>
            <w:vAlign w:val="top"/>
          </w:tcPr>
          <w:p w14:paraId="290F95F2">
            <w:pPr>
              <w:pStyle w:val="18"/>
              <w:spacing w:before="142"/>
              <w:ind w:left="260" w:right="253"/>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球阀</w:t>
            </w:r>
          </w:p>
        </w:tc>
      </w:tr>
      <w:tr w14:paraId="00FD6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85" w:type="dxa"/>
            <w:noWrap w:val="0"/>
            <w:vAlign w:val="top"/>
          </w:tcPr>
          <w:p w14:paraId="40E15E5E">
            <w:pPr>
              <w:pStyle w:val="18"/>
              <w:spacing w:before="156"/>
              <w:ind w:left="251" w:right="239"/>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CL150</w:t>
            </w:r>
          </w:p>
        </w:tc>
        <w:tc>
          <w:tcPr>
            <w:tcW w:w="1431" w:type="dxa"/>
            <w:noWrap w:val="0"/>
            <w:vAlign w:val="top"/>
          </w:tcPr>
          <w:p w14:paraId="663F36F2">
            <w:pPr>
              <w:pStyle w:val="18"/>
              <w:spacing w:before="143"/>
              <w:ind w:left="263" w:right="254"/>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≥DN400</w:t>
            </w:r>
          </w:p>
        </w:tc>
        <w:tc>
          <w:tcPr>
            <w:tcW w:w="1429" w:type="dxa"/>
            <w:noWrap w:val="0"/>
            <w:vAlign w:val="top"/>
          </w:tcPr>
          <w:p w14:paraId="1A26C66B">
            <w:pPr>
              <w:pStyle w:val="18"/>
              <w:spacing w:before="143"/>
              <w:ind w:left="262" w:right="252"/>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≥DN350</w:t>
            </w:r>
          </w:p>
        </w:tc>
        <w:tc>
          <w:tcPr>
            <w:tcW w:w="1430" w:type="dxa"/>
            <w:noWrap w:val="0"/>
            <w:vAlign w:val="top"/>
          </w:tcPr>
          <w:p w14:paraId="1467E04F">
            <w:pPr>
              <w:pStyle w:val="18"/>
              <w:spacing w:before="143"/>
              <w:ind w:left="262" w:right="253"/>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≥DN150</w:t>
            </w:r>
          </w:p>
        </w:tc>
        <w:tc>
          <w:tcPr>
            <w:tcW w:w="1429" w:type="dxa"/>
            <w:noWrap w:val="0"/>
            <w:vAlign w:val="top"/>
          </w:tcPr>
          <w:p w14:paraId="0A9C3480">
            <w:pPr>
              <w:pStyle w:val="18"/>
              <w:spacing w:before="143"/>
              <w:ind w:left="261" w:right="252"/>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≥DN200</w:t>
            </w:r>
          </w:p>
        </w:tc>
        <w:tc>
          <w:tcPr>
            <w:tcW w:w="1430" w:type="dxa"/>
            <w:noWrap w:val="0"/>
            <w:vAlign w:val="top"/>
          </w:tcPr>
          <w:p w14:paraId="325A18E8">
            <w:pPr>
              <w:pStyle w:val="18"/>
              <w:spacing w:before="143"/>
              <w:ind w:left="262" w:right="252"/>
              <w:rPr>
                <w:rFonts w:hint="default" w:ascii="Arial" w:hAnsi="Arial" w:eastAsia="宋体" w:cs="Arial"/>
                <w:color w:val="auto"/>
                <w:sz w:val="21"/>
                <w:highlight w:val="none"/>
                <w:shd w:val="clear" w:color="auto" w:fill="auto"/>
              </w:rPr>
            </w:pPr>
            <w:r>
              <w:rPr>
                <w:rFonts w:hint="default" w:ascii="Arial" w:hAnsi="Arial" w:eastAsia="宋体" w:cs="Arial"/>
                <w:color w:val="auto"/>
                <w:sz w:val="21"/>
                <w:highlight w:val="none"/>
                <w:shd w:val="clear" w:color="auto" w:fill="auto"/>
              </w:rPr>
              <w:t>≥DN200</w:t>
            </w:r>
          </w:p>
        </w:tc>
      </w:tr>
    </w:tbl>
    <w:p w14:paraId="30B6852F">
      <w:pPr>
        <w:spacing w:before="190"/>
        <w:ind w:left="517" w:right="0" w:firstLine="0"/>
        <w:jc w:val="left"/>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color w:val="auto"/>
          <w:sz w:val="21"/>
          <w:highlight w:val="none"/>
          <w:shd w:val="clear" w:color="auto" w:fill="auto"/>
        </w:rPr>
        <w:t>注：制造厂提供的产品与本规定有差异时，应提交书面偏差给买方审查和确认。</w:t>
      </w:r>
      <w:bookmarkStart w:id="86" w:name="2.4.7端面连接"/>
      <w:bookmarkEnd w:id="86"/>
      <w:bookmarkStart w:id="87" w:name="2.4.5垫片"/>
      <w:bookmarkEnd w:id="87"/>
    </w:p>
    <w:p w14:paraId="64A32C24">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所有管系连接优先采用焊接。当 DN≥150,焊缝最小间距 1</w:t>
      </w:r>
      <w:r>
        <w:rPr>
          <w:rFonts w:hint="default" w:ascii="Arial" w:hAnsi="Arial" w:eastAsia="宋体" w:cs="Arial"/>
          <w:bCs/>
          <w:color w:val="auto"/>
          <w:spacing w:val="-2"/>
          <w:sz w:val="24"/>
          <w:szCs w:val="22"/>
          <w:highlight w:val="none"/>
          <w:shd w:val="clear" w:color="auto" w:fill="auto"/>
          <w:lang w:val="en-US" w:eastAsia="zh-CN"/>
        </w:rPr>
        <w:t>ju</w:t>
      </w:r>
      <w:r>
        <w:rPr>
          <w:rFonts w:hint="default" w:ascii="Arial" w:hAnsi="Arial" w:eastAsia="宋体" w:cs="Arial"/>
          <w:bCs/>
          <w:color w:val="auto"/>
          <w:spacing w:val="-2"/>
          <w:sz w:val="24"/>
          <w:szCs w:val="22"/>
          <w:highlight w:val="none"/>
          <w:shd w:val="clear" w:color="auto" w:fill="auto"/>
        </w:rPr>
        <w:t>50mm,当DN＜150,焊缝最小间距 100mm。</w:t>
      </w:r>
    </w:p>
    <w:p w14:paraId="35792B6F">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与设备连接的管端按等级规定优先选用法兰连接。如果有需要，与设备焊接的管口应确认连接的材料、壁厚及坡口形式。</w:t>
      </w:r>
    </w:p>
    <w:p w14:paraId="273D5138">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管道材料等级中管道的连接形式，应根据工艺物料特性和工艺要求确定。</w:t>
      </w:r>
    </w:p>
    <w:p w14:paraId="0575E1D0">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所有连接到其他管道或总管，包括放空，放净以及仪表接口均设计支管连接表。</w:t>
      </w:r>
    </w:p>
    <w:p w14:paraId="2EF04FAC">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当主管公称直径 DN≤40 mm 时，支管连接全部使用三通管件。</w:t>
      </w:r>
    </w:p>
    <w:p w14:paraId="17CEE9C2">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当主管公称直径 DN≥50 mm 时，支管的连接形式可采用焊接支管，带补强的焊接支管，对焊三通或支管台等。</w:t>
      </w:r>
    </w:p>
    <w:p w14:paraId="06FBD844">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补强板的宽度应进行计算，补强板的厚度不能小于主管的厚度。</w:t>
      </w:r>
    </w:p>
    <w:p w14:paraId="4FC164DE">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在下列任何情况下，公称直径 DN≥100 mm 的整体补强分支焊接管件不允许焊接到主管外表面：</w:t>
      </w:r>
    </w:p>
    <w:p w14:paraId="1B5EBA95">
      <w:pPr>
        <w:keepNext w:val="0"/>
        <w:keepLines w:val="0"/>
        <w:pageBreakBefore w:val="0"/>
        <w:widowControl/>
        <w:numPr>
          <w:ilvl w:val="0"/>
          <w:numId w:val="6"/>
        </w:numPr>
        <w:tabs>
          <w:tab w:val="left" w:pos="0"/>
          <w:tab w:val="left" w:pos="420"/>
        </w:tabs>
        <w:kinsoku/>
        <w:wordWrap/>
        <w:overflowPunct/>
        <w:topLinePunct w:val="0"/>
        <w:autoSpaceDE/>
        <w:autoSpaceDN/>
        <w:bidi w:val="0"/>
        <w:adjustRightInd/>
        <w:snapToGrid/>
        <w:ind w:left="0" w:lef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d/D(支管直径/主管直径）超过 0.8；</w:t>
      </w:r>
    </w:p>
    <w:p w14:paraId="1E044A6F">
      <w:pPr>
        <w:keepNext w:val="0"/>
        <w:keepLines w:val="0"/>
        <w:pageBreakBefore w:val="0"/>
        <w:widowControl/>
        <w:numPr>
          <w:ilvl w:val="0"/>
          <w:numId w:val="6"/>
        </w:numPr>
        <w:tabs>
          <w:tab w:val="left" w:pos="0"/>
          <w:tab w:val="left" w:pos="420"/>
        </w:tabs>
        <w:kinsoku/>
        <w:wordWrap/>
        <w:overflowPunct/>
        <w:topLinePunct w:val="0"/>
        <w:autoSpaceDE/>
        <w:autoSpaceDN/>
        <w:bidi w:val="0"/>
        <w:adjustRightInd/>
        <w:snapToGrid/>
        <w:ind w:left="0" w:lef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主管壁厚小于标准壁厚(STD）；</w:t>
      </w:r>
    </w:p>
    <w:p w14:paraId="721B1116">
      <w:pPr>
        <w:keepNext w:val="0"/>
        <w:keepLines w:val="0"/>
        <w:pageBreakBefore w:val="0"/>
        <w:widowControl/>
        <w:numPr>
          <w:ilvl w:val="0"/>
          <w:numId w:val="0"/>
        </w:numPr>
        <w:tabs>
          <w:tab w:val="left" w:pos="0"/>
          <w:tab w:val="left" w:pos="420"/>
        </w:tabs>
        <w:kinsoku/>
        <w:wordWrap/>
        <w:overflowPunct/>
        <w:topLinePunct w:val="0"/>
        <w:autoSpaceDE/>
        <w:autoSpaceDN/>
        <w:bidi w:val="0"/>
        <w:adjustRightInd/>
        <w:snapToGrid/>
        <w:ind w:left="0" w:lef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c、当公称直径DN≥900，主管壁厚小于 19 mm。</w:t>
      </w:r>
    </w:p>
    <w:p w14:paraId="07E35B9E">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当管路设计温度≥427℃时，不允许使用补强板补强的支管连接</w:t>
      </w:r>
      <w:r>
        <w:rPr>
          <w:rFonts w:hint="eastAsia" w:ascii="Arial" w:hAnsi="Arial" w:cs="Arial"/>
          <w:bCs/>
          <w:color w:val="auto"/>
          <w:spacing w:val="-2"/>
          <w:sz w:val="24"/>
          <w:szCs w:val="22"/>
          <w:highlight w:val="none"/>
          <w:shd w:val="clear" w:color="auto" w:fill="auto"/>
          <w:lang w:eastAsia="zh-CN"/>
        </w:rPr>
        <w:t>。</w:t>
      </w:r>
    </w:p>
    <w:p w14:paraId="3678B1CB">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管道环焊缝、斜接焊缝和分支焊接的射线检验应符合 GB 50517-2010《石油化工金属管道工程施工质量验收规范》，SH 3501-2011《石油化工有毒、可燃介质钢制管道工程施工及验收规范》的 要求。分支焊接，角焊的超声检验比例应与相同管路系统对焊射线检 验比例一致。不适合射线检验的分支焊接应按射线检验的相同比例进 行超声波检验。当支管直径超过主管直径的 50％，且所有整体补强的支管连接的内径可以进行目测检验时，可以用磁粉或液体渗透检验。</w:t>
      </w:r>
    </w:p>
    <w:p w14:paraId="57F8ED73">
      <w:pPr>
        <w:keepNext w:val="0"/>
        <w:keepLines w:val="0"/>
        <w:pageBreakBefore w:val="0"/>
        <w:widowControl/>
        <w:numPr>
          <w:ilvl w:val="0"/>
          <w:numId w:val="5"/>
        </w:numPr>
        <w:tabs>
          <w:tab w:val="left" w:pos="0"/>
        </w:tabs>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补强板以主管材质制作，补强板厚度为主管壁厚，补强板内径为支管外径，补强板外径为支管外径的 1.5 倍,补强圈制作执行J B/T 4736-2002《补强圈钢制压力容器用封头》标准，补强板上需要开排气孔。</w:t>
      </w:r>
    </w:p>
    <w:p w14:paraId="7CF3E96E">
      <w:pPr>
        <w:pStyle w:val="2"/>
        <w:numPr>
          <w:ilvl w:val="0"/>
          <w:numId w:val="0"/>
        </w:numPr>
        <w:spacing w:before="156" w:beforeLines="50" w:after="156" w:afterLines="50"/>
        <w:ind w:left="578" w:hanging="578"/>
        <w:jc w:val="both"/>
        <w:rPr>
          <w:rFonts w:hint="default" w:ascii="Arial" w:hAnsi="Arial" w:eastAsia="宋体" w:cs="Arial"/>
          <w:b/>
          <w:bCs/>
          <w:color w:val="auto"/>
          <w:sz w:val="24"/>
          <w:szCs w:val="24"/>
          <w:highlight w:val="none"/>
          <w:shd w:val="clear" w:color="auto" w:fill="auto"/>
        </w:rPr>
      </w:pPr>
      <w:bookmarkStart w:id="88" w:name="3设备和管道绝热设计规定"/>
      <w:bookmarkEnd w:id="88"/>
      <w:bookmarkStart w:id="89" w:name="_bookmark2"/>
      <w:bookmarkEnd w:id="89"/>
      <w:bookmarkStart w:id="90" w:name="_Toc18711"/>
      <w:r>
        <w:rPr>
          <w:rFonts w:hint="default" w:ascii="Arial" w:hAnsi="Arial" w:eastAsia="宋体" w:cs="Arial"/>
          <w:b/>
          <w:bCs/>
          <w:color w:val="auto"/>
          <w:sz w:val="24"/>
          <w:szCs w:val="24"/>
          <w:highlight w:val="none"/>
          <w:shd w:val="clear" w:color="auto" w:fill="auto"/>
          <w:lang w:val="en-US" w:eastAsia="zh-CN"/>
        </w:rPr>
        <w:t>3</w:t>
      </w:r>
      <w:r>
        <w:rPr>
          <w:rFonts w:hint="default" w:ascii="Arial" w:hAnsi="Arial" w:eastAsia="宋体" w:cs="Arial"/>
          <w:b/>
          <w:bCs/>
          <w:color w:val="auto"/>
          <w:sz w:val="24"/>
          <w:szCs w:val="24"/>
          <w:highlight w:val="none"/>
          <w:shd w:val="clear" w:color="auto" w:fill="auto"/>
        </w:rPr>
        <w:t>设备和管道绝热设计规定</w:t>
      </w:r>
      <w:bookmarkEnd w:id="90"/>
    </w:p>
    <w:p w14:paraId="502735C9">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bookmarkStart w:id="91" w:name="3.1标准、规范"/>
      <w:bookmarkEnd w:id="91"/>
      <w:bookmarkStart w:id="92" w:name="_Toc7562"/>
      <w:r>
        <w:rPr>
          <w:rFonts w:hint="default" w:ascii="Arial" w:hAnsi="Arial" w:eastAsia="宋体" w:cs="Arial"/>
          <w:b/>
          <w:bCs/>
          <w:color w:val="auto"/>
          <w:sz w:val="24"/>
          <w:szCs w:val="24"/>
          <w:highlight w:val="none"/>
          <w:shd w:val="clear" w:color="auto" w:fill="auto"/>
          <w:lang w:val="en-US" w:eastAsia="zh-CN"/>
        </w:rPr>
        <w:t>3.1标准、规范</w:t>
      </w:r>
      <w:bookmarkEnd w:id="92"/>
    </w:p>
    <w:p w14:paraId="64314C3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设备和管道绝热设计、制造、试验和验收应按本说明所规定的标准和规范，执行本规定的任何承包商、分包商和供应商获悉所引用标准发生任何改变（包括修改单）时，需执行有关规定的最新有效版本。其最新版本适用于本规定。</w:t>
      </w:r>
    </w:p>
    <w:tbl>
      <w:tblPr>
        <w:tblStyle w:val="1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865"/>
        <w:gridCol w:w="4620"/>
      </w:tblGrid>
      <w:tr w14:paraId="2C9C2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228A417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 xml:space="preserve">GB/T 702-2017              </w:t>
            </w:r>
          </w:p>
        </w:tc>
        <w:tc>
          <w:tcPr>
            <w:tcW w:w="4620" w:type="dxa"/>
            <w:tcBorders>
              <w:top w:val="nil"/>
              <w:left w:val="nil"/>
              <w:bottom w:val="nil"/>
              <w:right w:val="nil"/>
            </w:tcBorders>
            <w:noWrap w:val="0"/>
            <w:tcMar>
              <w:top w:w="15" w:type="dxa"/>
              <w:left w:w="15" w:type="dxa"/>
              <w:right w:w="15" w:type="dxa"/>
            </w:tcMar>
            <w:vAlign w:val="center"/>
          </w:tcPr>
          <w:p w14:paraId="53A736C4">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钢棒尺寸、外形、重量及允许偏差</w:t>
            </w:r>
          </w:p>
        </w:tc>
      </w:tr>
      <w:tr w14:paraId="5E9FA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00E66B9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706-2016</w:t>
            </w:r>
          </w:p>
        </w:tc>
        <w:tc>
          <w:tcPr>
            <w:tcW w:w="4620" w:type="dxa"/>
            <w:tcBorders>
              <w:top w:val="nil"/>
              <w:left w:val="nil"/>
              <w:bottom w:val="nil"/>
              <w:right w:val="nil"/>
            </w:tcBorders>
            <w:noWrap w:val="0"/>
            <w:tcMar>
              <w:top w:w="15" w:type="dxa"/>
              <w:left w:w="15" w:type="dxa"/>
              <w:right w:w="15" w:type="dxa"/>
            </w:tcMar>
            <w:vAlign w:val="center"/>
          </w:tcPr>
          <w:p w14:paraId="4639C443">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热轧型钢</w:t>
            </w:r>
          </w:p>
        </w:tc>
      </w:tr>
      <w:tr w14:paraId="76284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04862DC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710-2008</w:t>
            </w:r>
          </w:p>
        </w:tc>
        <w:tc>
          <w:tcPr>
            <w:tcW w:w="4620" w:type="dxa"/>
            <w:tcBorders>
              <w:top w:val="nil"/>
              <w:left w:val="nil"/>
              <w:bottom w:val="nil"/>
              <w:right w:val="nil"/>
            </w:tcBorders>
            <w:noWrap w:val="0"/>
            <w:tcMar>
              <w:top w:w="15" w:type="dxa"/>
              <w:left w:w="15" w:type="dxa"/>
              <w:right w:w="15" w:type="dxa"/>
            </w:tcMar>
            <w:vAlign w:val="center"/>
          </w:tcPr>
          <w:p w14:paraId="7E8BCDE8">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优质碳素结构钢热轧钢板和钢带</w:t>
            </w:r>
          </w:p>
        </w:tc>
      </w:tr>
      <w:tr w14:paraId="27770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2A31163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3880-2012</w:t>
            </w:r>
          </w:p>
        </w:tc>
        <w:tc>
          <w:tcPr>
            <w:tcW w:w="4620" w:type="dxa"/>
            <w:tcBorders>
              <w:top w:val="nil"/>
              <w:left w:val="nil"/>
              <w:bottom w:val="nil"/>
              <w:right w:val="nil"/>
            </w:tcBorders>
            <w:noWrap w:val="0"/>
            <w:tcMar>
              <w:top w:w="15" w:type="dxa"/>
              <w:left w:w="15" w:type="dxa"/>
              <w:right w:w="15" w:type="dxa"/>
            </w:tcMar>
            <w:vAlign w:val="center"/>
          </w:tcPr>
          <w:p w14:paraId="7165E267">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 xml:space="preserve">一般工业用铝及铝合金板、带材                    </w:t>
            </w:r>
          </w:p>
        </w:tc>
      </w:tr>
      <w:tr w14:paraId="45E69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547BFDF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4237-2015</w:t>
            </w:r>
          </w:p>
        </w:tc>
        <w:tc>
          <w:tcPr>
            <w:tcW w:w="4620" w:type="dxa"/>
            <w:tcBorders>
              <w:top w:val="nil"/>
              <w:left w:val="nil"/>
              <w:bottom w:val="nil"/>
              <w:right w:val="nil"/>
            </w:tcBorders>
            <w:noWrap w:val="0"/>
            <w:tcMar>
              <w:top w:w="15" w:type="dxa"/>
              <w:left w:w="15" w:type="dxa"/>
              <w:right w:w="15" w:type="dxa"/>
            </w:tcMar>
            <w:vAlign w:val="center"/>
          </w:tcPr>
          <w:p w14:paraId="7D3C5138">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不锈钢热轧钢板和钢带</w:t>
            </w:r>
          </w:p>
        </w:tc>
      </w:tr>
      <w:tr w14:paraId="1BC65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4BE81D86">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3280-2015</w:t>
            </w:r>
          </w:p>
        </w:tc>
        <w:tc>
          <w:tcPr>
            <w:tcW w:w="4620" w:type="dxa"/>
            <w:tcBorders>
              <w:top w:val="nil"/>
              <w:left w:val="nil"/>
              <w:bottom w:val="nil"/>
              <w:right w:val="nil"/>
            </w:tcBorders>
            <w:noWrap w:val="0"/>
            <w:tcMar>
              <w:top w:w="15" w:type="dxa"/>
              <w:left w:w="15" w:type="dxa"/>
              <w:right w:w="15" w:type="dxa"/>
            </w:tcMar>
            <w:vAlign w:val="center"/>
          </w:tcPr>
          <w:p w14:paraId="3B431081">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不锈钢和耐热钢冷轧钢带</w:t>
            </w:r>
          </w:p>
        </w:tc>
      </w:tr>
      <w:tr w14:paraId="3D050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75C7A51A">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4240-2009</w:t>
            </w:r>
          </w:p>
        </w:tc>
        <w:tc>
          <w:tcPr>
            <w:tcW w:w="4620" w:type="dxa"/>
            <w:tcBorders>
              <w:top w:val="nil"/>
              <w:left w:val="nil"/>
              <w:bottom w:val="nil"/>
              <w:right w:val="nil"/>
            </w:tcBorders>
            <w:noWrap w:val="0"/>
            <w:tcMar>
              <w:top w:w="15" w:type="dxa"/>
              <w:left w:w="15" w:type="dxa"/>
              <w:right w:w="15" w:type="dxa"/>
            </w:tcMar>
            <w:vAlign w:val="center"/>
          </w:tcPr>
          <w:p w14:paraId="71962253">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不锈钢丝</w:t>
            </w:r>
          </w:p>
        </w:tc>
      </w:tr>
      <w:tr w14:paraId="02311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51882D14">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YB/T 5294-2009</w:t>
            </w:r>
          </w:p>
        </w:tc>
        <w:tc>
          <w:tcPr>
            <w:tcW w:w="4620" w:type="dxa"/>
            <w:tcBorders>
              <w:top w:val="nil"/>
              <w:left w:val="nil"/>
              <w:bottom w:val="nil"/>
              <w:right w:val="nil"/>
            </w:tcBorders>
            <w:noWrap w:val="0"/>
            <w:tcMar>
              <w:top w:w="15" w:type="dxa"/>
              <w:left w:w="15" w:type="dxa"/>
              <w:right w:w="15" w:type="dxa"/>
            </w:tcMar>
            <w:vAlign w:val="center"/>
          </w:tcPr>
          <w:p w14:paraId="60783E4B">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一般用途低碳钢丝</w:t>
            </w:r>
          </w:p>
        </w:tc>
      </w:tr>
      <w:tr w14:paraId="76A87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6505982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2518-2008</w:t>
            </w:r>
          </w:p>
        </w:tc>
        <w:tc>
          <w:tcPr>
            <w:tcW w:w="4620" w:type="dxa"/>
            <w:tcBorders>
              <w:top w:val="nil"/>
              <w:left w:val="nil"/>
              <w:bottom w:val="nil"/>
              <w:right w:val="nil"/>
            </w:tcBorders>
            <w:noWrap w:val="0"/>
            <w:tcMar>
              <w:top w:w="15" w:type="dxa"/>
              <w:left w:w="15" w:type="dxa"/>
              <w:right w:w="15" w:type="dxa"/>
            </w:tcMar>
            <w:vAlign w:val="center"/>
          </w:tcPr>
          <w:p w14:paraId="0B729222">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连续热镀锌钢板及钢带</w:t>
            </w:r>
          </w:p>
        </w:tc>
      </w:tr>
      <w:tr w14:paraId="583B0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19371F6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GB/T4272-2008</w:t>
            </w:r>
          </w:p>
        </w:tc>
        <w:tc>
          <w:tcPr>
            <w:tcW w:w="4620" w:type="dxa"/>
            <w:tcBorders>
              <w:top w:val="nil"/>
              <w:left w:val="nil"/>
              <w:bottom w:val="nil"/>
              <w:right w:val="nil"/>
            </w:tcBorders>
            <w:noWrap w:val="0"/>
            <w:tcMar>
              <w:top w:w="15" w:type="dxa"/>
              <w:left w:w="15" w:type="dxa"/>
              <w:right w:w="15" w:type="dxa"/>
            </w:tcMar>
            <w:vAlign w:val="center"/>
          </w:tcPr>
          <w:p w14:paraId="68545DF4">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设备及管道绝热技术通则</w:t>
            </w:r>
          </w:p>
        </w:tc>
      </w:tr>
      <w:tr w14:paraId="0ABB1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5803DC9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8175-2008</w:t>
            </w:r>
          </w:p>
        </w:tc>
        <w:tc>
          <w:tcPr>
            <w:tcW w:w="4620" w:type="dxa"/>
            <w:tcBorders>
              <w:top w:val="nil"/>
              <w:left w:val="nil"/>
              <w:bottom w:val="nil"/>
              <w:right w:val="nil"/>
            </w:tcBorders>
            <w:noWrap w:val="0"/>
            <w:tcMar>
              <w:top w:w="15" w:type="dxa"/>
              <w:left w:w="15" w:type="dxa"/>
              <w:right w:w="15" w:type="dxa"/>
            </w:tcMar>
            <w:vAlign w:val="center"/>
          </w:tcPr>
          <w:p w14:paraId="5A37CBE2">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设备及管道绝热设计导则</w:t>
            </w:r>
          </w:p>
        </w:tc>
      </w:tr>
      <w:tr w14:paraId="1950F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3DCAAAD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50264-2013</w:t>
            </w:r>
          </w:p>
        </w:tc>
        <w:tc>
          <w:tcPr>
            <w:tcW w:w="4620" w:type="dxa"/>
            <w:tcBorders>
              <w:top w:val="nil"/>
              <w:left w:val="nil"/>
              <w:bottom w:val="nil"/>
              <w:right w:val="nil"/>
            </w:tcBorders>
            <w:noWrap w:val="0"/>
            <w:tcMar>
              <w:top w:w="15" w:type="dxa"/>
              <w:left w:w="15" w:type="dxa"/>
              <w:right w:w="15" w:type="dxa"/>
            </w:tcMar>
            <w:vAlign w:val="center"/>
          </w:tcPr>
          <w:p w14:paraId="6836563D">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工业设备及管道绝热工程设计规范</w:t>
            </w:r>
          </w:p>
        </w:tc>
      </w:tr>
      <w:tr w14:paraId="127D1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7A15F91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50126-2008</w:t>
            </w:r>
          </w:p>
        </w:tc>
        <w:tc>
          <w:tcPr>
            <w:tcW w:w="4620" w:type="dxa"/>
            <w:tcBorders>
              <w:top w:val="nil"/>
              <w:left w:val="nil"/>
              <w:bottom w:val="nil"/>
              <w:right w:val="nil"/>
            </w:tcBorders>
            <w:noWrap w:val="0"/>
            <w:tcMar>
              <w:top w:w="15" w:type="dxa"/>
              <w:left w:w="15" w:type="dxa"/>
              <w:right w:w="15" w:type="dxa"/>
            </w:tcMar>
            <w:vAlign w:val="center"/>
          </w:tcPr>
          <w:p w14:paraId="1F325C83">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工业设备及管道绝热工程施工规范</w:t>
            </w:r>
          </w:p>
        </w:tc>
      </w:tr>
      <w:tr w14:paraId="75E1C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77678C75">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GB/T17393-2008</w:t>
            </w:r>
          </w:p>
        </w:tc>
        <w:tc>
          <w:tcPr>
            <w:tcW w:w="4620" w:type="dxa"/>
            <w:tcBorders>
              <w:top w:val="nil"/>
              <w:left w:val="nil"/>
              <w:bottom w:val="nil"/>
              <w:right w:val="nil"/>
            </w:tcBorders>
            <w:noWrap w:val="0"/>
            <w:tcMar>
              <w:top w:w="15" w:type="dxa"/>
              <w:left w:w="15" w:type="dxa"/>
              <w:right w:w="15" w:type="dxa"/>
            </w:tcMar>
            <w:vAlign w:val="center"/>
          </w:tcPr>
          <w:p w14:paraId="42BA213B">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覆盖奥氏体不锈钢用绝热材料规范</w:t>
            </w:r>
          </w:p>
        </w:tc>
      </w:tr>
      <w:tr w14:paraId="60C26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00AE1EA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SH/T 3010-2013</w:t>
            </w:r>
          </w:p>
        </w:tc>
        <w:tc>
          <w:tcPr>
            <w:tcW w:w="4620" w:type="dxa"/>
            <w:tcBorders>
              <w:top w:val="nil"/>
              <w:left w:val="nil"/>
              <w:bottom w:val="nil"/>
              <w:right w:val="nil"/>
            </w:tcBorders>
            <w:noWrap w:val="0"/>
            <w:tcMar>
              <w:top w:w="15" w:type="dxa"/>
              <w:left w:w="15" w:type="dxa"/>
              <w:right w:w="15" w:type="dxa"/>
            </w:tcMar>
            <w:vAlign w:val="center"/>
          </w:tcPr>
          <w:p w14:paraId="713599BE">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石油化工设备和管道绝热.技术规范</w:t>
            </w:r>
          </w:p>
        </w:tc>
      </w:tr>
      <w:tr w14:paraId="7C4C2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5877F3C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SH/T 3503-2017</w:t>
            </w:r>
          </w:p>
        </w:tc>
        <w:tc>
          <w:tcPr>
            <w:tcW w:w="4620" w:type="dxa"/>
            <w:tcBorders>
              <w:top w:val="nil"/>
              <w:left w:val="nil"/>
              <w:bottom w:val="nil"/>
              <w:right w:val="nil"/>
            </w:tcBorders>
            <w:noWrap w:val="0"/>
            <w:tcMar>
              <w:top w:w="15" w:type="dxa"/>
              <w:left w:w="15" w:type="dxa"/>
              <w:right w:w="15" w:type="dxa"/>
            </w:tcMar>
            <w:vAlign w:val="center"/>
          </w:tcPr>
          <w:p w14:paraId="02FCDD13">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石油化工建设工程项目交工技术文件规定</w:t>
            </w:r>
          </w:p>
        </w:tc>
      </w:tr>
      <w:tr w14:paraId="5D400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7B82DFFE">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50185-2010</w:t>
            </w:r>
          </w:p>
        </w:tc>
        <w:tc>
          <w:tcPr>
            <w:tcW w:w="4620" w:type="dxa"/>
            <w:tcBorders>
              <w:top w:val="nil"/>
              <w:left w:val="nil"/>
              <w:bottom w:val="nil"/>
              <w:right w:val="nil"/>
            </w:tcBorders>
            <w:noWrap w:val="0"/>
            <w:tcMar>
              <w:top w:w="15" w:type="dxa"/>
              <w:left w:w="15" w:type="dxa"/>
              <w:right w:w="15" w:type="dxa"/>
            </w:tcMar>
            <w:vAlign w:val="center"/>
          </w:tcPr>
          <w:p w14:paraId="1542E194">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工业设备及管道绝热工程质量验收规范</w:t>
            </w:r>
          </w:p>
        </w:tc>
      </w:tr>
      <w:tr w14:paraId="54725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865" w:type="dxa"/>
            <w:tcBorders>
              <w:top w:val="nil"/>
              <w:left w:val="nil"/>
              <w:bottom w:val="nil"/>
              <w:right w:val="nil"/>
            </w:tcBorders>
            <w:noWrap w:val="0"/>
            <w:tcMar>
              <w:top w:w="15" w:type="dxa"/>
              <w:left w:w="15" w:type="dxa"/>
              <w:right w:w="15" w:type="dxa"/>
            </w:tcMar>
            <w:vAlign w:val="center"/>
          </w:tcPr>
          <w:p w14:paraId="6A47C76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SH/T 3522-2003</w:t>
            </w:r>
          </w:p>
        </w:tc>
        <w:tc>
          <w:tcPr>
            <w:tcW w:w="4620" w:type="dxa"/>
            <w:tcBorders>
              <w:top w:val="nil"/>
              <w:left w:val="nil"/>
              <w:bottom w:val="nil"/>
              <w:right w:val="nil"/>
            </w:tcBorders>
            <w:noWrap w:val="0"/>
            <w:tcMar>
              <w:top w:w="15" w:type="dxa"/>
              <w:left w:w="15" w:type="dxa"/>
              <w:right w:w="15" w:type="dxa"/>
            </w:tcMar>
            <w:vAlign w:val="center"/>
          </w:tcPr>
          <w:p w14:paraId="7A0C1305">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石油化工隔热工程施工工艺标准</w:t>
            </w:r>
          </w:p>
        </w:tc>
      </w:tr>
    </w:tbl>
    <w:p w14:paraId="61AF60C2">
      <w:pPr>
        <w:pStyle w:val="3"/>
        <w:numPr>
          <w:ilvl w:val="0"/>
          <w:numId w:val="0"/>
        </w:numPr>
        <w:spacing w:before="0" w:beforeLines="0" w:after="0" w:afterLines="0"/>
        <w:rPr>
          <w:rFonts w:hint="default" w:ascii="Arial" w:hAnsi="Arial" w:eastAsia="宋体" w:cs="Arial"/>
          <w:color w:val="auto"/>
          <w:sz w:val="23"/>
          <w:highlight w:val="none"/>
          <w:shd w:val="clear" w:color="auto" w:fill="auto"/>
        </w:rPr>
      </w:pPr>
      <w:bookmarkStart w:id="93" w:name="3.2一般规定"/>
      <w:bookmarkEnd w:id="93"/>
      <w:bookmarkStart w:id="94" w:name="_Toc25086"/>
      <w:r>
        <w:rPr>
          <w:rFonts w:hint="default" w:ascii="Arial" w:hAnsi="Arial" w:eastAsia="宋体" w:cs="Arial"/>
          <w:b/>
          <w:bCs/>
          <w:color w:val="auto"/>
          <w:sz w:val="24"/>
          <w:szCs w:val="24"/>
          <w:highlight w:val="none"/>
          <w:shd w:val="clear" w:color="auto" w:fill="auto"/>
          <w:lang w:val="en-US" w:eastAsia="zh-CN"/>
        </w:rPr>
        <w:t>3.2一般规定</w:t>
      </w:r>
      <w:bookmarkEnd w:id="94"/>
    </w:p>
    <w:p w14:paraId="178CABD8">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95" w:name="3.2.1保温及保冷的代号"/>
      <w:bookmarkEnd w:id="95"/>
      <w:bookmarkStart w:id="96" w:name="_Toc8550"/>
      <w:r>
        <w:rPr>
          <w:rFonts w:hint="default" w:ascii="Arial" w:hAnsi="Arial" w:eastAsia="宋体" w:cs="Arial"/>
          <w:b/>
          <w:bCs/>
          <w:color w:val="auto"/>
          <w:sz w:val="24"/>
          <w:szCs w:val="24"/>
          <w:highlight w:val="none"/>
          <w:shd w:val="clear" w:color="auto" w:fill="auto"/>
          <w:lang w:val="en-US" w:eastAsia="zh-CN"/>
        </w:rPr>
        <w:t>3.2.1保温及保冷的代号</w:t>
      </w:r>
      <w:bookmarkEnd w:id="96"/>
    </w:p>
    <w:p w14:paraId="5FEDEE0E">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68"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pacing w:val="-3"/>
          <w:sz w:val="24"/>
          <w:szCs w:val="24"/>
          <w:highlight w:val="none"/>
          <w:shd w:val="clear" w:color="auto" w:fill="auto"/>
        </w:rPr>
        <w:t>在管道及仪表流程图和公用工程流程图及管道表上所标识出的保温分类和代号，如下表所示。</w:t>
      </w:r>
    </w:p>
    <w:p w14:paraId="4797512D">
      <w:pPr>
        <w:spacing w:before="0" w:after="20" w:line="287" w:lineRule="exact"/>
        <w:ind w:left="1806" w:right="1441" w:firstLine="0"/>
        <w:jc w:val="center"/>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3.2.1-1：绝热的分类和代号</w:t>
      </w:r>
    </w:p>
    <w:tbl>
      <w:tblPr>
        <w:tblStyle w:val="11"/>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2074"/>
        <w:gridCol w:w="7311"/>
      </w:tblGrid>
      <w:tr w14:paraId="0D0A099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97" w:hRule="atLeast"/>
          <w:tblHeader/>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0525ED29">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代号</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317B5158">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类别</w:t>
            </w:r>
          </w:p>
        </w:tc>
      </w:tr>
      <w:tr w14:paraId="2BBA66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6651EB87">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H</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53AEEFC8">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需要保温</w:t>
            </w:r>
          </w:p>
        </w:tc>
      </w:tr>
      <w:tr w14:paraId="191809B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32E5B28B">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P</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3736CDB1">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防烫伤保温</w:t>
            </w:r>
          </w:p>
        </w:tc>
      </w:tr>
      <w:tr w14:paraId="45C3D2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43469EB7">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ST</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41ED84BD">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蒸汽伴热</w:t>
            </w:r>
          </w:p>
        </w:tc>
      </w:tr>
      <w:tr w14:paraId="57FF9F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55343CAF">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WT</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07EB7F1">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热水伴热</w:t>
            </w:r>
          </w:p>
        </w:tc>
      </w:tr>
      <w:tr w14:paraId="7F9EF65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7131D5A5">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ET</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2E334585">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电伴热</w:t>
            </w:r>
          </w:p>
        </w:tc>
      </w:tr>
      <w:tr w14:paraId="4757C2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090C1FAE">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V</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3A7FD51E">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噪音控制</w:t>
            </w:r>
          </w:p>
        </w:tc>
      </w:tr>
      <w:tr w14:paraId="0F4F281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3651EED0">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FP</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2ADFC9D4">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防火保温</w:t>
            </w:r>
          </w:p>
        </w:tc>
      </w:tr>
      <w:tr w14:paraId="6E0718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0BF9791">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SP</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09787C10">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特殊保温</w:t>
            </w:r>
          </w:p>
        </w:tc>
      </w:tr>
      <w:tr w14:paraId="34AAEF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46F20D5E">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R</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2CA0B8E4">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需要连续保冷</w:t>
            </w:r>
          </w:p>
        </w:tc>
      </w:tr>
      <w:tr w14:paraId="48BFDD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4A84296D">
            <w:pPr>
              <w:pStyle w:val="19"/>
              <w:spacing w:line="360" w:lineRule="auto"/>
              <w:jc w:val="center"/>
              <w:rPr>
                <w:rFonts w:hint="default" w:ascii="Arial" w:hAnsi="Arial" w:eastAsia="宋体" w:cs="Arial"/>
                <w:color w:val="auto"/>
                <w:kern w:val="0"/>
                <w:sz w:val="24"/>
                <w:szCs w:val="24"/>
                <w:highlight w:val="none"/>
                <w:shd w:val="clear" w:color="auto" w:fill="auto"/>
              </w:rPr>
            </w:pPr>
            <w:r>
              <w:rPr>
                <w:rFonts w:hint="default" w:ascii="Arial" w:hAnsi="Arial" w:eastAsia="宋体" w:cs="Arial"/>
                <w:color w:val="auto"/>
                <w:kern w:val="0"/>
                <w:sz w:val="24"/>
                <w:szCs w:val="24"/>
                <w:highlight w:val="none"/>
                <w:shd w:val="clear" w:color="auto" w:fill="auto"/>
              </w:rPr>
              <w:t>W</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3013678">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防冻</w:t>
            </w:r>
          </w:p>
        </w:tc>
      </w:tr>
      <w:tr w14:paraId="28764E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9D9E1BB">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D</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6931B967">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防结露</w:t>
            </w:r>
          </w:p>
        </w:tc>
      </w:tr>
      <w:tr w14:paraId="663827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cantSplit/>
          <w:trHeight w:val="397" w:hRule="atLeast"/>
          <w:jc w:val="center"/>
        </w:trPr>
        <w:tc>
          <w:tcPr>
            <w:tcW w:w="2074"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4A71535">
            <w:pPr>
              <w:pStyle w:val="19"/>
              <w:spacing w:line="360" w:lineRule="auto"/>
              <w:jc w:val="center"/>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w:t>
            </w:r>
          </w:p>
        </w:tc>
        <w:tc>
          <w:tcPr>
            <w:tcW w:w="7311" w:type="dxa"/>
            <w:tcBorders>
              <w:top w:val="single" w:color="auto" w:sz="6" w:space="0"/>
              <w:left w:val="single" w:color="auto" w:sz="6" w:space="0"/>
              <w:bottom w:val="single" w:color="auto" w:sz="6" w:space="0"/>
              <w:right w:val="single" w:color="auto" w:sz="6" w:space="0"/>
            </w:tcBorders>
            <w:noWrap w:val="0"/>
            <w:tcMar>
              <w:top w:w="15" w:type="dxa"/>
              <w:left w:w="15" w:type="dxa"/>
              <w:bottom w:w="0" w:type="dxa"/>
              <w:right w:w="15" w:type="dxa"/>
            </w:tcMar>
            <w:vAlign w:val="center"/>
          </w:tcPr>
          <w:p w14:paraId="1FA24852">
            <w:pPr>
              <w:pStyle w:val="19"/>
              <w:spacing w:line="360" w:lineRule="auto"/>
              <w:jc w:val="center"/>
              <w:rPr>
                <w:rFonts w:hint="eastAsia" w:ascii="Arial" w:hAnsi="Arial" w:eastAsia="宋体" w:cs="Arial"/>
                <w:color w:val="auto"/>
                <w:sz w:val="24"/>
                <w:szCs w:val="24"/>
                <w:highlight w:val="none"/>
                <w:shd w:val="clear" w:color="auto" w:fill="auto"/>
                <w:lang w:eastAsia="zh-CN"/>
              </w:rPr>
            </w:pPr>
            <w:r>
              <w:rPr>
                <w:rFonts w:hint="eastAsia" w:cs="Arial"/>
                <w:color w:val="auto"/>
                <w:sz w:val="24"/>
                <w:szCs w:val="24"/>
                <w:highlight w:val="none"/>
                <w:shd w:val="clear" w:color="auto" w:fill="auto"/>
                <w:lang w:eastAsia="zh-CN"/>
              </w:rPr>
              <w:t>保冷</w:t>
            </w:r>
          </w:p>
        </w:tc>
      </w:tr>
    </w:tbl>
    <w:p w14:paraId="1ECED848">
      <w:pPr>
        <w:adjustRightInd w:val="0"/>
        <w:snapToGrid w:val="0"/>
        <w:rPr>
          <w:rFonts w:hint="default" w:ascii="Arial" w:hAnsi="Arial" w:eastAsia="宋体" w:cs="Arial"/>
          <w:color w:val="auto"/>
          <w:sz w:val="24"/>
          <w:szCs w:val="24"/>
          <w:highlight w:val="none"/>
          <w:shd w:val="clear" w:color="auto" w:fill="auto"/>
        </w:rPr>
      </w:pPr>
    </w:p>
    <w:p w14:paraId="12444799">
      <w:pPr>
        <w:keepNext w:val="0"/>
        <w:keepLines w:val="0"/>
        <w:pageBreakBefore w:val="0"/>
        <w:widowControl/>
        <w:numPr>
          <w:ilvl w:val="0"/>
          <w:numId w:val="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绝热材料的选择应以被保温管道的材质和设计温度为依据。保温材料及制品的允许使用温度应高于设备和管道的设计温度。保冷材料及制品的允许使用温变应低于设备和管道的最低设计温度。</w:t>
      </w:r>
    </w:p>
    <w:p w14:paraId="529141E4">
      <w:pPr>
        <w:keepNext w:val="0"/>
        <w:keepLines w:val="0"/>
        <w:pageBreakBefore w:val="0"/>
        <w:widowControl/>
        <w:numPr>
          <w:ilvl w:val="0"/>
          <w:numId w:val="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在保温和防烫伤保温的情况下，计算保温厚度应以内部介质的正常操作温度为根据。计算保冷厚度应以内部介质正常操作时的最低温度为根据。</w:t>
      </w:r>
    </w:p>
    <w:p w14:paraId="465B8E03">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97" w:name="3.2.2保温防烫"/>
      <w:bookmarkEnd w:id="97"/>
      <w:bookmarkStart w:id="98" w:name="_Toc1619"/>
      <w:r>
        <w:rPr>
          <w:rFonts w:hint="default" w:ascii="Arial" w:hAnsi="Arial" w:eastAsia="宋体" w:cs="Arial"/>
          <w:b/>
          <w:bCs/>
          <w:color w:val="auto"/>
          <w:sz w:val="24"/>
          <w:szCs w:val="24"/>
          <w:highlight w:val="none"/>
          <w:shd w:val="clear" w:color="auto" w:fill="auto"/>
          <w:lang w:val="en-US" w:eastAsia="zh-CN"/>
        </w:rPr>
        <w:t>3.2.2保温防烫</w:t>
      </w:r>
      <w:bookmarkEnd w:id="98"/>
    </w:p>
    <w:p w14:paraId="109E686B">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介质操作温度大于 50℃的设备和管道应设置保温，但在工艺过程要求必须裸露、散热的设备和管道除外。</w:t>
      </w:r>
    </w:p>
    <w:p w14:paraId="3D6EF858">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根据工艺要求限制热损失的地方，即使介质操作温度小于或等于50℃时，也应全部设置保温。</w:t>
      </w:r>
    </w:p>
    <w:p w14:paraId="632DC9B5">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为防止高温设备和管道散热时对周围环境的影响，应设置保温。</w:t>
      </w:r>
    </w:p>
    <w:p w14:paraId="0FCAED27">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要求散热的设备和管道不应设置保温。</w:t>
      </w:r>
    </w:p>
    <w:p w14:paraId="6A3551CC">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具有耐火或绝缘材料作为内衬的设备和管道，在其外部不应再设置保温，但在必须控制金属温度的地方除外。</w:t>
      </w:r>
    </w:p>
    <w:p w14:paraId="720CA1A9">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安全阀连同其出口管道以及蒸汽吹出阀、放空和放净阀等的下游管道均不应设置保温。防烫伤保温除外。</w:t>
      </w:r>
    </w:p>
    <w:p w14:paraId="14F7EFF1">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疏水阀及其下游管道均不应设置保温，但当有必要回收凝结水热量、防止结冰堵塞时，以及设计另有规定者除外。</w:t>
      </w:r>
    </w:p>
    <w:p w14:paraId="375DD6B4">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除另有规定外，下列设备及其部件不应设置保温：</w:t>
      </w:r>
    </w:p>
    <w:p w14:paraId="138C72EF">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a、在操作温度 230℃以下不带蒸汽伴热管的泵，如果保温会引起不希望的影响，操作温度在 230℃以上的泵也不应设置保温；</w:t>
      </w:r>
    </w:p>
    <w:p w14:paraId="48C66ED2">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b、鼓风机和压缩机；</w:t>
      </w:r>
    </w:p>
    <w:p w14:paraId="129C3D51">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c、具有移动元件的部件，如膨胀节、转动接头和滑阀；</w:t>
      </w:r>
    </w:p>
    <w:p w14:paraId="4E9BB87C">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d、处理或通过易燃、易爆、有毒等危险物料，要求及时发现泄露的阀门、法兰处。</w:t>
      </w:r>
    </w:p>
    <w:p w14:paraId="7E662FC4">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e、设备和管道的裙座、支座、吊耳、仪表管座、支架、吊架以及按工艺和维修要求经常拆卸的法兰、法兰盖等附件。</w:t>
      </w:r>
    </w:p>
    <w:p w14:paraId="4A53D6E9">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需要经常维护而又无法采取其他防烫措施的不保温设备和管道，当表面温度超过 60℃时，应在下列范围内设置防烫伤保温：</w:t>
      </w:r>
    </w:p>
    <w:p w14:paraId="13108D3D">
      <w:pPr>
        <w:pStyle w:val="6"/>
        <w:keepNext w:val="0"/>
        <w:keepLines w:val="0"/>
        <w:pageBreakBefore w:val="0"/>
        <w:widowControl w:val="0"/>
        <w:numPr>
          <w:ilvl w:val="0"/>
          <w:numId w:val="9"/>
        </w:numPr>
        <w:kinsoku/>
        <w:wordWrap/>
        <w:overflowPunct/>
        <w:topLinePunct w:val="0"/>
        <w:autoSpaceDE/>
        <w:autoSpaceDN/>
        <w:bidi w:val="0"/>
        <w:adjustRightInd/>
        <w:snapToGrid/>
        <w:spacing w:line="360" w:lineRule="auto"/>
        <w:ind w:left="136" w:right="249" w:firstLine="42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高于地面或工作平台 2.1 m 以内者；</w:t>
      </w:r>
    </w:p>
    <w:p w14:paraId="6F6E6008">
      <w:pPr>
        <w:pStyle w:val="6"/>
        <w:keepNext w:val="0"/>
        <w:keepLines w:val="0"/>
        <w:pageBreakBefore w:val="0"/>
        <w:widowControl w:val="0"/>
        <w:numPr>
          <w:ilvl w:val="0"/>
          <w:numId w:val="9"/>
        </w:numPr>
        <w:kinsoku/>
        <w:wordWrap/>
        <w:overflowPunct/>
        <w:topLinePunct w:val="0"/>
        <w:autoSpaceDE/>
        <w:autoSpaceDN/>
        <w:bidi w:val="0"/>
        <w:adjustRightInd/>
        <w:snapToGrid/>
        <w:spacing w:line="360" w:lineRule="auto"/>
        <w:ind w:left="136" w:right="249" w:firstLine="42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离开操作平台 0.75 m 以内者。</w:t>
      </w:r>
    </w:p>
    <w:p w14:paraId="1DB471E5">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 w:val="0"/>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工艺过程要求必须裸露或散热的设备和管道，可以设置屏障或防护物以取代人身防烫伤绝热</w:t>
      </w:r>
      <w:r>
        <w:rPr>
          <w:rFonts w:hint="default" w:ascii="Arial" w:hAnsi="Arial" w:eastAsia="宋体" w:cs="Arial"/>
          <w:b w:val="0"/>
          <w:bCs/>
          <w:color w:val="auto"/>
          <w:spacing w:val="-2"/>
          <w:sz w:val="24"/>
          <w:szCs w:val="22"/>
          <w:highlight w:val="none"/>
          <w:shd w:val="clear" w:color="auto" w:fill="auto"/>
        </w:rPr>
        <w:t>.。</w:t>
      </w:r>
    </w:p>
    <w:p w14:paraId="1566F271">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 w:val="0"/>
          <w:bCs/>
          <w:color w:val="auto"/>
          <w:spacing w:val="-2"/>
          <w:sz w:val="24"/>
          <w:szCs w:val="22"/>
          <w:highlight w:val="none"/>
          <w:shd w:val="clear" w:color="auto" w:fill="auto"/>
        </w:rPr>
      </w:pPr>
      <w:r>
        <w:rPr>
          <w:rFonts w:hint="default" w:ascii="Arial" w:hAnsi="Arial" w:eastAsia="宋体" w:cs="Arial"/>
          <w:b w:val="0"/>
          <w:bCs/>
          <w:color w:val="auto"/>
          <w:spacing w:val="-2"/>
          <w:sz w:val="24"/>
          <w:szCs w:val="22"/>
          <w:highlight w:val="none"/>
          <w:shd w:val="clear" w:color="auto" w:fill="auto"/>
        </w:rPr>
        <w:t>为避免保温层下金属管道的腐蚀，CUI 风险较大的管线采用笼式防护结构。</w:t>
      </w:r>
    </w:p>
    <w:p w14:paraId="1807F3A9">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 w:val="0"/>
          <w:bCs/>
          <w:color w:val="auto"/>
          <w:spacing w:val="-2"/>
          <w:sz w:val="24"/>
          <w:szCs w:val="22"/>
          <w:highlight w:val="none"/>
          <w:shd w:val="clear" w:color="auto" w:fill="auto"/>
        </w:rPr>
      </w:pPr>
      <w:r>
        <w:rPr>
          <w:rFonts w:hint="default" w:ascii="Arial" w:hAnsi="Arial" w:eastAsia="宋体" w:cs="Arial"/>
          <w:b w:val="0"/>
          <w:bCs/>
          <w:color w:val="auto"/>
          <w:spacing w:val="-2"/>
          <w:sz w:val="24"/>
          <w:szCs w:val="22"/>
          <w:highlight w:val="none"/>
          <w:shd w:val="clear" w:color="auto" w:fill="auto"/>
        </w:rPr>
        <w:t>碱介质应采用特殊保温，采用矿棉和不锈钢金属保护层</w:t>
      </w:r>
    </w:p>
    <w:p w14:paraId="5FEEEE53">
      <w:pPr>
        <w:keepNext w:val="0"/>
        <w:keepLines w:val="0"/>
        <w:pageBreakBefore w:val="0"/>
        <w:widowControl/>
        <w:numPr>
          <w:ilvl w:val="0"/>
          <w:numId w:val="8"/>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 w:val="0"/>
          <w:bCs/>
          <w:color w:val="auto"/>
          <w:spacing w:val="-2"/>
          <w:sz w:val="24"/>
          <w:szCs w:val="22"/>
          <w:highlight w:val="none"/>
          <w:shd w:val="clear" w:color="auto" w:fill="auto"/>
        </w:rPr>
      </w:pPr>
      <w:r>
        <w:rPr>
          <w:rFonts w:hint="default" w:ascii="Arial" w:hAnsi="Arial" w:eastAsia="宋体" w:cs="Arial"/>
          <w:b w:val="0"/>
          <w:bCs/>
          <w:color w:val="auto"/>
          <w:spacing w:val="-2"/>
          <w:sz w:val="24"/>
          <w:szCs w:val="22"/>
          <w:highlight w:val="none"/>
          <w:shd w:val="clear" w:color="auto" w:fill="auto"/>
        </w:rPr>
        <w:t>需要防火的设备和管道应采用防火保温，防火保温材料应在高温下保证在无任何粘结剂的条件下具有均匀的纤维结合。保温为两层。保温厚度最小为 100mm。宜选用泡沫玻璃，采用不锈钢金属保护层</w:t>
      </w:r>
      <w:r>
        <w:rPr>
          <w:rFonts w:hint="eastAsia" w:ascii="Arial" w:hAnsi="Arial" w:cs="Arial"/>
          <w:b w:val="0"/>
          <w:bCs/>
          <w:color w:val="auto"/>
          <w:spacing w:val="-2"/>
          <w:sz w:val="24"/>
          <w:szCs w:val="22"/>
          <w:highlight w:val="none"/>
          <w:shd w:val="clear" w:color="auto" w:fill="auto"/>
          <w:lang w:eastAsia="zh-CN"/>
        </w:rPr>
        <w:t>。</w:t>
      </w:r>
    </w:p>
    <w:p w14:paraId="36F6BCB8">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bookmarkStart w:id="99" w:name="3.2.3保冷"/>
      <w:bookmarkEnd w:id="99"/>
      <w:bookmarkStart w:id="100" w:name="_Toc20942"/>
      <w:r>
        <w:rPr>
          <w:rFonts w:hint="default" w:ascii="Arial" w:hAnsi="Arial" w:eastAsia="宋体" w:cs="Arial"/>
          <w:b/>
          <w:bCs/>
          <w:color w:val="auto"/>
          <w:sz w:val="24"/>
          <w:szCs w:val="24"/>
          <w:highlight w:val="none"/>
          <w:shd w:val="clear" w:color="auto" w:fill="auto"/>
          <w:lang w:val="en-US" w:eastAsia="zh-CN"/>
        </w:rPr>
        <w:t>3.2.3保冷</w:t>
      </w:r>
      <w:bookmarkEnd w:id="100"/>
    </w:p>
    <w:p w14:paraId="32E5C2E4">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保冷适用于操作温度低于环境温度的设备和管道，工艺要求需要温度升高或汽化者除外。需减少冷介质在生产和输送过程中温度升高或气化者， 应保冷。</w:t>
      </w:r>
    </w:p>
    <w:p w14:paraId="125193F8">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阀门的保冷和防结露保冷应一直做到将阀盖包在内为止，安全阀应做到该阀的排放口法兰端。</w:t>
      </w:r>
    </w:p>
    <w:p w14:paraId="76AF0268">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通常情况下，操作温度在 0℃及其以上工作的泵不应进行保冷。</w:t>
      </w:r>
    </w:p>
    <w:p w14:paraId="65A6997C">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与低温设备和低温管道相连的下列低温附件进行保冷时，其保冷长度应等于其相应的设备或管道的保冷层厚度的 4 倍或至垫块处。</w:t>
      </w:r>
    </w:p>
    <w:p w14:paraId="53A66CC9">
      <w:pPr>
        <w:pStyle w:val="6"/>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556"/>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设备支座、裙座、支腿、吊耳。</w:t>
      </w:r>
    </w:p>
    <w:p w14:paraId="6F3DA0D8">
      <w:pPr>
        <w:pStyle w:val="6"/>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556"/>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带法兰的设备管口。</w:t>
      </w:r>
    </w:p>
    <w:p w14:paraId="47E1CB18">
      <w:pPr>
        <w:pStyle w:val="6"/>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556"/>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管道支吊架。</w:t>
      </w:r>
    </w:p>
    <w:p w14:paraId="24B3B800">
      <w:pPr>
        <w:pStyle w:val="6"/>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556"/>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放空和放净管道的支管。</w:t>
      </w:r>
    </w:p>
    <w:p w14:paraId="252B30B3">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操作温度常温以下，0℃以上的设备和管道，为防止表面生成凝结水应采取防结露保冷。</w:t>
      </w:r>
    </w:p>
    <w:p w14:paraId="24DFEA81">
      <w:pPr>
        <w:keepNext w:val="0"/>
        <w:keepLines w:val="0"/>
        <w:pageBreakBefore w:val="0"/>
        <w:widowControl/>
        <w:numPr>
          <w:ilvl w:val="0"/>
          <w:numId w:val="10"/>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color w:val="auto"/>
          <w:sz w:val="23"/>
          <w:highlight w:val="none"/>
          <w:shd w:val="clear" w:color="auto" w:fill="auto"/>
        </w:rPr>
      </w:pPr>
      <w:r>
        <w:rPr>
          <w:rFonts w:hint="default" w:ascii="Arial" w:hAnsi="Arial" w:eastAsia="宋体" w:cs="Arial"/>
          <w:bCs/>
          <w:color w:val="auto"/>
          <w:spacing w:val="-2"/>
          <w:sz w:val="24"/>
          <w:szCs w:val="22"/>
          <w:highlight w:val="none"/>
          <w:shd w:val="clear" w:color="auto" w:fill="auto"/>
        </w:rPr>
        <w:t>工艺生产中排气放空等不需保冷。</w:t>
      </w:r>
    </w:p>
    <w:p w14:paraId="3D890E4D">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101" w:name="3.2.4绝热材料"/>
      <w:bookmarkEnd w:id="101"/>
      <w:bookmarkStart w:id="102" w:name="_Toc5514"/>
      <w:r>
        <w:rPr>
          <w:rFonts w:hint="default" w:ascii="Arial" w:hAnsi="Arial" w:eastAsia="宋体" w:cs="Arial"/>
          <w:b/>
          <w:bCs/>
          <w:color w:val="auto"/>
          <w:sz w:val="24"/>
          <w:szCs w:val="24"/>
          <w:highlight w:val="none"/>
          <w:shd w:val="clear" w:color="auto" w:fill="auto"/>
          <w:lang w:val="en-US" w:eastAsia="zh-CN"/>
        </w:rPr>
        <w:t>3.2.4绝热材料</w:t>
      </w:r>
      <w:bookmarkEnd w:id="102"/>
    </w:p>
    <w:p w14:paraId="7D6C582B">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bCs/>
          <w:sz w:val="24"/>
          <w:highlight w:val="yellow"/>
        </w:rPr>
      </w:pPr>
      <w:r>
        <w:rPr>
          <w:bCs/>
          <w:sz w:val="24"/>
          <w:highlight w:val="yellow"/>
        </w:rPr>
        <w:t>1</w:t>
      </w:r>
      <w:r>
        <w:rPr>
          <w:rFonts w:hint="eastAsia"/>
          <w:bCs/>
          <w:sz w:val="24"/>
          <w:highlight w:val="yellow"/>
        </w:rPr>
        <w:t>）管道保温（包括防烫）：</w:t>
      </w:r>
      <w:r>
        <w:rPr>
          <w:bCs/>
          <w:sz w:val="24"/>
          <w:highlight w:val="yellow"/>
        </w:rPr>
        <w:t xml:space="preserve">                            </w:t>
      </w:r>
      <w:r>
        <w:rPr>
          <w:rFonts w:hint="eastAsia"/>
          <w:bCs/>
          <w:sz w:val="24"/>
          <w:highlight w:val="yellow"/>
        </w:rPr>
        <w:t>硅酸铝制品</w:t>
      </w:r>
    </w:p>
    <w:p w14:paraId="4394770D">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bCs/>
          <w:sz w:val="24"/>
          <w:highlight w:val="yellow"/>
        </w:rPr>
      </w:pPr>
      <w:r>
        <w:rPr>
          <w:bCs/>
          <w:sz w:val="24"/>
          <w:highlight w:val="yellow"/>
        </w:rPr>
        <w:t>2</w:t>
      </w:r>
      <w:r>
        <w:rPr>
          <w:rFonts w:hint="eastAsia"/>
          <w:bCs/>
          <w:sz w:val="24"/>
          <w:highlight w:val="yellow"/>
        </w:rPr>
        <w:t>）管道保冷：</w:t>
      </w:r>
      <w:r>
        <w:rPr>
          <w:bCs/>
          <w:sz w:val="24"/>
          <w:highlight w:val="yellow"/>
        </w:rPr>
        <w:t xml:space="preserve">                        </w:t>
      </w:r>
      <w:r>
        <w:rPr>
          <w:rFonts w:hint="eastAsia"/>
          <w:bCs/>
          <w:sz w:val="24"/>
          <w:highlight w:val="yellow"/>
        </w:rPr>
        <w:t xml:space="preserve">           </w:t>
      </w:r>
      <w:r>
        <w:rPr>
          <w:bCs/>
          <w:sz w:val="24"/>
          <w:highlight w:val="yellow"/>
        </w:rPr>
        <w:t xml:space="preserve"> </w:t>
      </w:r>
      <w:r>
        <w:rPr>
          <w:rFonts w:hint="eastAsia"/>
          <w:bCs/>
          <w:sz w:val="24"/>
          <w:highlight w:val="yellow"/>
        </w:rPr>
        <w:t xml:space="preserve"> </w:t>
      </w:r>
      <w:r>
        <w:rPr>
          <w:bCs/>
          <w:sz w:val="24"/>
          <w:highlight w:val="yellow"/>
        </w:rPr>
        <w:t xml:space="preserve">  </w:t>
      </w:r>
      <w:r>
        <w:rPr>
          <w:rFonts w:hint="eastAsia"/>
          <w:bCs/>
          <w:sz w:val="24"/>
          <w:highlight w:val="yellow"/>
        </w:rPr>
        <w:t>硬质聚氨酯泡沫</w:t>
      </w:r>
    </w:p>
    <w:p w14:paraId="2855EBDA">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bCs/>
          <w:sz w:val="24"/>
          <w:highlight w:val="yellow"/>
        </w:rPr>
      </w:pPr>
      <w:r>
        <w:rPr>
          <w:bCs/>
          <w:sz w:val="24"/>
          <w:highlight w:val="yellow"/>
        </w:rPr>
        <w:t>3</w:t>
      </w:r>
      <w:r>
        <w:rPr>
          <w:rFonts w:hint="eastAsia"/>
          <w:bCs/>
          <w:sz w:val="24"/>
          <w:highlight w:val="yellow"/>
        </w:rPr>
        <w:t>）设备保温（包括防烫）：</w:t>
      </w:r>
      <w:r>
        <w:rPr>
          <w:bCs/>
          <w:sz w:val="24"/>
          <w:highlight w:val="yellow"/>
        </w:rPr>
        <w:t xml:space="preserve">                            </w:t>
      </w:r>
      <w:r>
        <w:rPr>
          <w:rFonts w:hint="eastAsia"/>
          <w:bCs/>
          <w:sz w:val="24"/>
          <w:highlight w:val="yellow"/>
        </w:rPr>
        <w:t>硅酸铝制品</w:t>
      </w:r>
    </w:p>
    <w:p w14:paraId="14CAD8A9">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rFonts w:hint="eastAsia"/>
          <w:bCs/>
          <w:sz w:val="24"/>
          <w:highlight w:val="yellow"/>
        </w:rPr>
      </w:pPr>
      <w:r>
        <w:rPr>
          <w:bCs/>
          <w:sz w:val="24"/>
          <w:highlight w:val="yellow"/>
        </w:rPr>
        <w:t>4</w:t>
      </w:r>
      <w:r>
        <w:rPr>
          <w:rFonts w:hint="eastAsia"/>
          <w:bCs/>
          <w:sz w:val="24"/>
          <w:highlight w:val="yellow"/>
        </w:rPr>
        <w:t>）设备保冷：</w:t>
      </w:r>
      <w:r>
        <w:rPr>
          <w:bCs/>
          <w:sz w:val="24"/>
          <w:highlight w:val="yellow"/>
        </w:rPr>
        <w:t xml:space="preserve">                      </w:t>
      </w:r>
      <w:r>
        <w:rPr>
          <w:rFonts w:hint="eastAsia"/>
          <w:bCs/>
          <w:sz w:val="24"/>
          <w:highlight w:val="yellow"/>
        </w:rPr>
        <w:t xml:space="preserve">          </w:t>
      </w:r>
      <w:r>
        <w:rPr>
          <w:bCs/>
          <w:sz w:val="24"/>
          <w:highlight w:val="yellow"/>
        </w:rPr>
        <w:t xml:space="preserve">       </w:t>
      </w:r>
      <w:r>
        <w:rPr>
          <w:rFonts w:hint="eastAsia"/>
          <w:bCs/>
          <w:sz w:val="24"/>
          <w:highlight w:val="yellow"/>
        </w:rPr>
        <w:t>硬质聚氨酯泡沫</w:t>
      </w:r>
    </w:p>
    <w:p w14:paraId="7F432C6F">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rFonts w:hint="eastAsia"/>
          <w:bCs/>
          <w:sz w:val="24"/>
          <w:highlight w:val="yellow"/>
        </w:rPr>
      </w:pPr>
      <w:r>
        <w:rPr>
          <w:rFonts w:hint="eastAsia"/>
          <w:bCs/>
          <w:sz w:val="24"/>
          <w:highlight w:val="yellow"/>
        </w:rPr>
        <w:t>5）设备 外保护层：                                  0.8mm合金铝板</w:t>
      </w:r>
    </w:p>
    <w:p w14:paraId="6A3BE6BF">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both"/>
        <w:textAlignment w:val="auto"/>
        <w:rPr>
          <w:bCs/>
          <w:sz w:val="24"/>
          <w:highlight w:val="yellow"/>
        </w:rPr>
      </w:pPr>
      <w:r>
        <w:rPr>
          <w:rFonts w:hint="eastAsia"/>
          <w:bCs/>
          <w:sz w:val="24"/>
          <w:highlight w:val="yellow"/>
        </w:rPr>
        <w:t>6）管道 外保护层：                                  0.5mm合金铝板</w:t>
      </w:r>
    </w:p>
    <w:p w14:paraId="60A9B2D9">
      <w:pPr>
        <w:pStyle w:val="6"/>
        <w:keepNext w:val="0"/>
        <w:keepLines w:val="0"/>
        <w:pageBreakBefore w:val="0"/>
        <w:widowControl w:val="0"/>
        <w:kinsoku/>
        <w:wordWrap/>
        <w:overflowPunct/>
        <w:topLinePunct w:val="0"/>
        <w:autoSpaceDE/>
        <w:autoSpaceDN/>
        <w:bidi w:val="0"/>
        <w:adjustRightInd/>
        <w:snapToGrid/>
        <w:spacing w:before="8" w:line="360" w:lineRule="auto"/>
        <w:ind w:firstLine="480" w:firstLineChars="200"/>
        <w:textAlignment w:val="auto"/>
        <w:outlineLvl w:val="9"/>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所选材料及其制品的各项技术性能，应由指定的检测机构按国家有关标准的规定测定合格。保温材料见表 3.2.4-1。保冷和防结露保冷材料见表3.2.4-1。</w:t>
      </w:r>
    </w:p>
    <w:p w14:paraId="25A43AE0">
      <w:pPr>
        <w:spacing w:before="0" w:line="256" w:lineRule="exact"/>
        <w:ind w:left="1806" w:right="1918" w:firstLine="0"/>
        <w:jc w:val="center"/>
        <w:rPr>
          <w:rFonts w:hint="default" w:ascii="Arial" w:hAnsi="Arial" w:eastAsia="宋体" w:cs="Arial"/>
          <w:color w:val="auto"/>
          <w:sz w:val="24"/>
          <w:highlight w:val="yellow"/>
          <w:shd w:val="clear" w:color="auto" w:fill="auto"/>
        </w:rPr>
      </w:pPr>
      <w:r>
        <w:rPr>
          <w:rFonts w:hint="default" w:ascii="Arial" w:hAnsi="Arial" w:eastAsia="宋体" w:cs="Arial"/>
          <w:color w:val="auto"/>
          <w:sz w:val="24"/>
          <w:highlight w:val="yellow"/>
          <w:shd w:val="clear" w:color="auto" w:fill="auto"/>
        </w:rPr>
        <w:t>表 3.2.4-1：保温材料</w:t>
      </w:r>
    </w:p>
    <w:tbl>
      <w:tblPr>
        <w:tblStyle w:val="1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39"/>
        <w:gridCol w:w="2817"/>
        <w:gridCol w:w="2361"/>
        <w:gridCol w:w="1839"/>
      </w:tblGrid>
      <w:tr w14:paraId="63E56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6" w:type="pct"/>
            <w:noWrap w:val="0"/>
            <w:vAlign w:val="center"/>
          </w:tcPr>
          <w:p w14:paraId="1899453D">
            <w:pPr>
              <w:tabs>
                <w:tab w:val="left" w:pos="1733"/>
              </w:tabs>
              <w:autoSpaceDE w:val="0"/>
              <w:autoSpaceDN w:val="0"/>
              <w:adjustRightInd w:val="0"/>
              <w:snapToGrid w:val="0"/>
              <w:rPr>
                <w:rFonts w:hint="eastAsia" w:ascii="Arial" w:hAnsi="Arial"/>
                <w:color w:val="000000"/>
                <w:sz w:val="24"/>
                <w:highlight w:val="yellow"/>
              </w:rPr>
            </w:pPr>
            <w:r>
              <w:rPr>
                <w:rFonts w:hint="eastAsia" w:ascii="Arial" w:hAnsi="Arial"/>
                <w:color w:val="000000"/>
                <w:sz w:val="24"/>
                <w:highlight w:val="yellow"/>
              </w:rPr>
              <w:t>名称材料</w:t>
            </w:r>
          </w:p>
        </w:tc>
        <w:tc>
          <w:tcPr>
            <w:tcW w:w="1414" w:type="pct"/>
            <w:noWrap w:val="0"/>
            <w:vAlign w:val="center"/>
          </w:tcPr>
          <w:p w14:paraId="3BC17FC1">
            <w:pPr>
              <w:tabs>
                <w:tab w:val="left" w:pos="1733"/>
              </w:tabs>
              <w:autoSpaceDE w:val="0"/>
              <w:autoSpaceDN w:val="0"/>
              <w:adjustRightInd w:val="0"/>
              <w:snapToGrid w:val="0"/>
              <w:rPr>
                <w:rFonts w:hint="eastAsia" w:ascii="Arial" w:hAnsi="Arial"/>
                <w:color w:val="000000"/>
                <w:sz w:val="24"/>
                <w:highlight w:val="yellow"/>
              </w:rPr>
            </w:pPr>
            <w:r>
              <w:rPr>
                <w:rFonts w:hint="eastAsia" w:ascii="Arial" w:hAnsi="Arial"/>
                <w:color w:val="000000"/>
                <w:sz w:val="24"/>
                <w:highlight w:val="yellow"/>
              </w:rPr>
              <w:t>导热系数参考计算方程</w:t>
            </w:r>
            <w:r>
              <w:rPr>
                <w:rFonts w:ascii="TimesNewRomanPSMT" w:hAnsi="TimesNewRomanPSMT" w:cs="TimesNewRomanPSMT"/>
                <w:kern w:val="0"/>
                <w:sz w:val="24"/>
                <w:highlight w:val="yellow"/>
              </w:rPr>
              <w:t>(W/mºC)</w:t>
            </w:r>
          </w:p>
        </w:tc>
        <w:tc>
          <w:tcPr>
            <w:tcW w:w="1185" w:type="pct"/>
            <w:noWrap w:val="0"/>
            <w:vAlign w:val="center"/>
          </w:tcPr>
          <w:p w14:paraId="2350C359">
            <w:pPr>
              <w:tabs>
                <w:tab w:val="left" w:pos="1733"/>
              </w:tabs>
              <w:autoSpaceDE w:val="0"/>
              <w:autoSpaceDN w:val="0"/>
              <w:adjustRightInd w:val="0"/>
              <w:snapToGrid w:val="0"/>
              <w:rPr>
                <w:rFonts w:hint="eastAsia" w:ascii="Arial" w:hAnsi="Arial"/>
                <w:color w:val="000000"/>
                <w:sz w:val="24"/>
                <w:highlight w:val="yellow"/>
              </w:rPr>
            </w:pPr>
            <w:r>
              <w:rPr>
                <w:rFonts w:hint="eastAsia" w:ascii="宋体" w:cs="宋体"/>
                <w:kern w:val="0"/>
                <w:sz w:val="24"/>
                <w:highlight w:val="yellow"/>
              </w:rPr>
              <w:t>密度</w:t>
            </w:r>
            <w:r>
              <w:rPr>
                <w:rFonts w:ascii="TimesNewRomanPSMT" w:hAnsi="TimesNewRomanPSMT" w:cs="TimesNewRomanPSMT"/>
                <w:kern w:val="0"/>
                <w:sz w:val="24"/>
                <w:highlight w:val="yellow"/>
              </w:rPr>
              <w:t>(kg/m3 )</w:t>
            </w:r>
          </w:p>
        </w:tc>
        <w:tc>
          <w:tcPr>
            <w:tcW w:w="923" w:type="pct"/>
            <w:noWrap w:val="0"/>
            <w:vAlign w:val="center"/>
          </w:tcPr>
          <w:p w14:paraId="06BB129F">
            <w:pPr>
              <w:tabs>
                <w:tab w:val="left" w:pos="1733"/>
              </w:tabs>
              <w:autoSpaceDE w:val="0"/>
              <w:autoSpaceDN w:val="0"/>
              <w:adjustRightInd w:val="0"/>
              <w:snapToGrid w:val="0"/>
              <w:rPr>
                <w:rFonts w:hint="eastAsia" w:ascii="Arial" w:hAnsi="Arial"/>
                <w:color w:val="000000"/>
                <w:sz w:val="24"/>
                <w:highlight w:val="yellow"/>
              </w:rPr>
            </w:pPr>
            <w:r>
              <w:rPr>
                <w:rFonts w:hint="eastAsia" w:ascii="宋体" w:cs="宋体"/>
                <w:kern w:val="0"/>
                <w:sz w:val="24"/>
                <w:highlight w:val="yellow"/>
              </w:rPr>
              <w:t>推荐使用温度</w:t>
            </w:r>
          </w:p>
        </w:tc>
      </w:tr>
      <w:tr w14:paraId="040C2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476" w:type="pct"/>
            <w:noWrap w:val="0"/>
            <w:vAlign w:val="center"/>
          </w:tcPr>
          <w:p w14:paraId="5856AFA6">
            <w:pPr>
              <w:tabs>
                <w:tab w:val="left" w:pos="1733"/>
              </w:tabs>
              <w:autoSpaceDE w:val="0"/>
              <w:autoSpaceDN w:val="0"/>
              <w:adjustRightInd w:val="0"/>
              <w:snapToGrid w:val="0"/>
              <w:rPr>
                <w:rFonts w:hint="eastAsia" w:ascii="宋体" w:cs="宋体"/>
                <w:kern w:val="0"/>
                <w:sz w:val="24"/>
                <w:highlight w:val="yellow"/>
              </w:rPr>
            </w:pPr>
            <w:r>
              <w:rPr>
                <w:rFonts w:hint="eastAsia" w:ascii="宋体" w:cs="宋体"/>
                <w:kern w:val="0"/>
                <w:sz w:val="24"/>
                <w:highlight w:val="yellow"/>
              </w:rPr>
              <w:t>复合硅酸铝</w:t>
            </w:r>
          </w:p>
        </w:tc>
        <w:tc>
          <w:tcPr>
            <w:tcW w:w="1414" w:type="pct"/>
            <w:noWrap w:val="0"/>
            <w:vAlign w:val="center"/>
          </w:tcPr>
          <w:p w14:paraId="4160E35F">
            <w:pPr>
              <w:tabs>
                <w:tab w:val="left" w:pos="1733"/>
              </w:tabs>
              <w:autoSpaceDE w:val="0"/>
              <w:autoSpaceDN w:val="0"/>
              <w:adjustRightInd w:val="0"/>
              <w:snapToGrid w:val="0"/>
              <w:rPr>
                <w:rFonts w:hint="eastAsia" w:ascii="Arial" w:hAnsi="Arial"/>
                <w:color w:val="000000"/>
                <w:sz w:val="24"/>
                <w:highlight w:val="yellow"/>
              </w:rPr>
            </w:pPr>
            <w:r>
              <w:rPr>
                <w:rFonts w:hint="eastAsia" w:ascii="Arial" w:hAnsi="Arial"/>
                <w:color w:val="000000"/>
                <w:sz w:val="24"/>
                <w:highlight w:val="yellow"/>
              </w:rPr>
              <w:t>0.036</w:t>
            </w:r>
            <w:r>
              <w:rPr>
                <w:rFonts w:ascii="Arial" w:hAnsi="Arial"/>
                <w:color w:val="000000"/>
                <w:sz w:val="24"/>
                <w:highlight w:val="yellow"/>
              </w:rPr>
              <w:t>+0.000112</w:t>
            </w:r>
            <w:r>
              <w:rPr>
                <w:rFonts w:hint="eastAsia" w:ascii="Arial" w:hAnsi="Arial"/>
                <w:color w:val="000000"/>
                <w:sz w:val="24"/>
                <w:highlight w:val="yellow"/>
              </w:rPr>
              <w:t>T</w:t>
            </w:r>
            <w:r>
              <w:rPr>
                <w:rFonts w:ascii="Arial" w:hAnsi="Arial"/>
                <w:color w:val="000000"/>
                <w:sz w:val="24"/>
                <w:highlight w:val="yellow"/>
              </w:rPr>
              <w:t>m</w:t>
            </w:r>
          </w:p>
        </w:tc>
        <w:tc>
          <w:tcPr>
            <w:tcW w:w="1185" w:type="pct"/>
            <w:noWrap w:val="0"/>
            <w:vAlign w:val="center"/>
          </w:tcPr>
          <w:p w14:paraId="3345A571">
            <w:pPr>
              <w:autoSpaceDE w:val="0"/>
              <w:autoSpaceDN w:val="0"/>
              <w:adjustRightInd w:val="0"/>
              <w:rPr>
                <w:rFonts w:hint="eastAsia" w:ascii="宋体" w:cs="宋体"/>
                <w:kern w:val="0"/>
                <w:sz w:val="24"/>
                <w:highlight w:val="yellow"/>
              </w:rPr>
            </w:pPr>
            <w:r>
              <w:rPr>
                <w:rFonts w:hint="eastAsia" w:ascii="宋体" w:cs="宋体"/>
                <w:kern w:val="0"/>
                <w:sz w:val="24"/>
                <w:highlight w:val="yellow"/>
              </w:rPr>
              <w:t>45~80</w:t>
            </w:r>
          </w:p>
        </w:tc>
        <w:tc>
          <w:tcPr>
            <w:tcW w:w="923" w:type="pct"/>
            <w:noWrap w:val="0"/>
            <w:vAlign w:val="center"/>
          </w:tcPr>
          <w:p w14:paraId="04199252">
            <w:pPr>
              <w:autoSpaceDE w:val="0"/>
              <w:autoSpaceDN w:val="0"/>
              <w:adjustRightInd w:val="0"/>
              <w:rPr>
                <w:rFonts w:ascii="TimesNewRomanPSMT" w:hAnsi="TimesNewRomanPSMT" w:cs="TimesNewRomanPSMT"/>
                <w:kern w:val="0"/>
                <w:sz w:val="24"/>
                <w:highlight w:val="yellow"/>
              </w:rPr>
            </w:pPr>
            <w:r>
              <w:rPr>
                <w:rFonts w:hint="eastAsia" w:ascii="TimesNewRomanPSMT" w:hAnsi="TimesNewRomanPSMT" w:cs="TimesNewRomanPSMT"/>
                <w:kern w:val="0"/>
                <w:sz w:val="24"/>
                <w:highlight w:val="yellow"/>
              </w:rPr>
              <w:t>≤600℃</w:t>
            </w:r>
          </w:p>
        </w:tc>
      </w:tr>
    </w:tbl>
    <w:p w14:paraId="09065396">
      <w:pPr>
        <w:pStyle w:val="6"/>
        <w:spacing w:before="3"/>
        <w:rPr>
          <w:rFonts w:hint="default" w:ascii="Arial" w:hAnsi="Arial" w:eastAsia="宋体" w:cs="Arial"/>
          <w:color w:val="auto"/>
          <w:sz w:val="6"/>
          <w:highlight w:val="none"/>
          <w:shd w:val="clear" w:color="auto" w:fill="auto"/>
        </w:rPr>
      </w:pPr>
    </w:p>
    <w:p w14:paraId="115D36A9">
      <w:pPr>
        <w:spacing w:before="81"/>
        <w:ind w:left="1806" w:right="1918" w:firstLine="0"/>
        <w:jc w:val="center"/>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3.2.4-2：保冷和防结露材料</w:t>
      </w:r>
    </w:p>
    <w:tbl>
      <w:tblPr>
        <w:tblStyle w:val="11"/>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62"/>
        <w:gridCol w:w="2276"/>
        <w:gridCol w:w="3037"/>
        <w:gridCol w:w="1844"/>
        <w:gridCol w:w="1733"/>
      </w:tblGrid>
      <w:tr w14:paraId="69C8F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atLeast"/>
        </w:trPr>
        <w:tc>
          <w:tcPr>
            <w:tcW w:w="442" w:type="pct"/>
            <w:noWrap w:val="0"/>
            <w:vAlign w:val="top"/>
          </w:tcPr>
          <w:p w14:paraId="11D6571F">
            <w:pPr>
              <w:pStyle w:val="18"/>
              <w:spacing w:before="1"/>
              <w:jc w:val="left"/>
              <w:rPr>
                <w:rFonts w:hint="default" w:ascii="Arial" w:hAnsi="Arial" w:eastAsia="宋体" w:cs="Arial"/>
                <w:color w:val="auto"/>
                <w:sz w:val="21"/>
                <w:szCs w:val="21"/>
                <w:highlight w:val="none"/>
                <w:shd w:val="clear" w:color="auto" w:fill="auto"/>
              </w:rPr>
            </w:pPr>
          </w:p>
          <w:p w14:paraId="07FC39CF">
            <w:pPr>
              <w:pStyle w:val="18"/>
              <w:ind w:left="138" w:right="13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序号</w:t>
            </w:r>
          </w:p>
        </w:tc>
        <w:tc>
          <w:tcPr>
            <w:tcW w:w="1166" w:type="pct"/>
            <w:noWrap w:val="0"/>
            <w:vAlign w:val="top"/>
          </w:tcPr>
          <w:p w14:paraId="30FDBB19">
            <w:pPr>
              <w:pStyle w:val="18"/>
              <w:spacing w:before="1"/>
              <w:jc w:val="left"/>
              <w:rPr>
                <w:rFonts w:hint="default" w:ascii="Arial" w:hAnsi="Arial" w:eastAsia="宋体" w:cs="Arial"/>
                <w:color w:val="auto"/>
                <w:sz w:val="21"/>
                <w:szCs w:val="21"/>
                <w:highlight w:val="none"/>
                <w:shd w:val="clear" w:color="auto" w:fill="auto"/>
              </w:rPr>
            </w:pPr>
          </w:p>
          <w:p w14:paraId="69B0B606">
            <w:pPr>
              <w:pStyle w:val="18"/>
              <w:ind w:left="213" w:right="208"/>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材料</w:t>
            </w:r>
          </w:p>
        </w:tc>
        <w:tc>
          <w:tcPr>
            <w:tcW w:w="1556" w:type="pct"/>
            <w:noWrap w:val="0"/>
            <w:vAlign w:val="top"/>
          </w:tcPr>
          <w:p w14:paraId="3F6A027B">
            <w:pPr>
              <w:pStyle w:val="18"/>
              <w:spacing w:before="1"/>
              <w:jc w:val="left"/>
              <w:rPr>
                <w:rFonts w:hint="default" w:ascii="Arial" w:hAnsi="Arial" w:eastAsia="宋体" w:cs="Arial"/>
                <w:color w:val="auto"/>
                <w:sz w:val="21"/>
                <w:szCs w:val="21"/>
                <w:highlight w:val="none"/>
                <w:shd w:val="clear" w:color="auto" w:fill="auto"/>
              </w:rPr>
            </w:pPr>
          </w:p>
          <w:p w14:paraId="419D0DFA">
            <w:pPr>
              <w:pStyle w:val="18"/>
              <w:ind w:left="306"/>
              <w:jc w:val="left"/>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导热系数(W／m·℃)</w:t>
            </w:r>
          </w:p>
        </w:tc>
        <w:tc>
          <w:tcPr>
            <w:tcW w:w="945" w:type="pct"/>
            <w:noWrap w:val="0"/>
            <w:vAlign w:val="top"/>
          </w:tcPr>
          <w:p w14:paraId="56C0B1C3">
            <w:pPr>
              <w:pStyle w:val="18"/>
              <w:spacing w:before="1"/>
              <w:jc w:val="left"/>
              <w:rPr>
                <w:rFonts w:hint="default" w:ascii="Arial" w:hAnsi="Arial" w:eastAsia="宋体" w:cs="Arial"/>
                <w:color w:val="auto"/>
                <w:sz w:val="21"/>
                <w:szCs w:val="21"/>
                <w:highlight w:val="none"/>
                <w:shd w:val="clear" w:color="auto" w:fill="auto"/>
              </w:rPr>
            </w:pPr>
          </w:p>
          <w:p w14:paraId="775222BC">
            <w:pPr>
              <w:pStyle w:val="18"/>
              <w:ind w:left="173" w:right="163"/>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温度范围(℃)</w:t>
            </w:r>
          </w:p>
        </w:tc>
        <w:tc>
          <w:tcPr>
            <w:tcW w:w="888" w:type="pct"/>
            <w:noWrap w:val="0"/>
            <w:vAlign w:val="top"/>
          </w:tcPr>
          <w:p w14:paraId="44A4037D">
            <w:pPr>
              <w:pStyle w:val="18"/>
              <w:spacing w:before="1"/>
              <w:jc w:val="left"/>
              <w:rPr>
                <w:rFonts w:hint="default" w:ascii="Arial" w:hAnsi="Arial" w:eastAsia="宋体" w:cs="Arial"/>
                <w:color w:val="auto"/>
                <w:sz w:val="21"/>
                <w:szCs w:val="21"/>
                <w:highlight w:val="none"/>
                <w:shd w:val="clear" w:color="auto" w:fill="auto"/>
              </w:rPr>
            </w:pPr>
          </w:p>
          <w:p w14:paraId="736C22C3">
            <w:pPr>
              <w:pStyle w:val="18"/>
              <w:ind w:left="102" w:right="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密度(kg／m</w:t>
            </w:r>
            <w:r>
              <w:rPr>
                <w:rFonts w:hint="default" w:ascii="Arial" w:hAnsi="Arial" w:eastAsia="宋体" w:cs="Arial"/>
                <w:color w:val="auto"/>
                <w:position w:val="7"/>
                <w:sz w:val="21"/>
                <w:szCs w:val="21"/>
                <w:highlight w:val="none"/>
                <w:shd w:val="clear" w:color="auto" w:fill="auto"/>
              </w:rPr>
              <w:t>3</w:t>
            </w:r>
            <w:r>
              <w:rPr>
                <w:rFonts w:hint="default" w:ascii="Arial" w:hAnsi="Arial" w:eastAsia="宋体" w:cs="Arial"/>
                <w:color w:val="auto"/>
                <w:sz w:val="21"/>
                <w:szCs w:val="21"/>
                <w:highlight w:val="none"/>
                <w:shd w:val="clear" w:color="auto" w:fill="auto"/>
              </w:rPr>
              <w:t>)</w:t>
            </w:r>
          </w:p>
        </w:tc>
      </w:tr>
      <w:tr w14:paraId="65C82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atLeast"/>
        </w:trPr>
        <w:tc>
          <w:tcPr>
            <w:tcW w:w="442" w:type="pct"/>
            <w:noWrap w:val="0"/>
            <w:vAlign w:val="top"/>
          </w:tcPr>
          <w:p w14:paraId="1D3F3046">
            <w:pPr>
              <w:pStyle w:val="18"/>
              <w:ind w:left="8"/>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9"/>
                <w:sz w:val="21"/>
                <w:szCs w:val="21"/>
                <w:highlight w:val="none"/>
                <w:shd w:val="clear" w:color="auto" w:fill="auto"/>
              </w:rPr>
              <w:t>1</w:t>
            </w:r>
          </w:p>
        </w:tc>
        <w:tc>
          <w:tcPr>
            <w:tcW w:w="1166" w:type="pct"/>
            <w:noWrap w:val="0"/>
            <w:vAlign w:val="top"/>
          </w:tcPr>
          <w:p w14:paraId="62D4101A">
            <w:pPr>
              <w:pStyle w:val="18"/>
              <w:ind w:left="218" w:right="208"/>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聚氨酯泡沫塑料</w:t>
            </w:r>
          </w:p>
        </w:tc>
        <w:tc>
          <w:tcPr>
            <w:tcW w:w="1556" w:type="pct"/>
            <w:noWrap w:val="0"/>
            <w:vAlign w:val="top"/>
          </w:tcPr>
          <w:p w14:paraId="0236B3A7">
            <w:pPr>
              <w:pStyle w:val="18"/>
              <w:ind w:left="315"/>
              <w:jc w:val="left"/>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入=0.027+0.00009tm</w:t>
            </w:r>
          </w:p>
        </w:tc>
        <w:tc>
          <w:tcPr>
            <w:tcW w:w="945" w:type="pct"/>
            <w:noWrap w:val="0"/>
            <w:vAlign w:val="top"/>
          </w:tcPr>
          <w:p w14:paraId="07107305">
            <w:pPr>
              <w:pStyle w:val="18"/>
              <w:ind w:left="173" w:right="16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-60～30</w:t>
            </w:r>
          </w:p>
        </w:tc>
        <w:tc>
          <w:tcPr>
            <w:tcW w:w="888" w:type="pct"/>
            <w:noWrap w:val="0"/>
            <w:vAlign w:val="top"/>
          </w:tcPr>
          <w:p w14:paraId="5AFB5559">
            <w:pPr>
              <w:pStyle w:val="18"/>
              <w:ind w:left="98" w:right="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45~55</w:t>
            </w:r>
          </w:p>
        </w:tc>
      </w:tr>
    </w:tbl>
    <w:p w14:paraId="13F858CF">
      <w:pPr>
        <w:pStyle w:val="6"/>
        <w:spacing w:before="7"/>
        <w:rPr>
          <w:rFonts w:hint="default" w:ascii="Arial" w:hAnsi="Arial" w:eastAsia="宋体" w:cs="Arial"/>
          <w:color w:val="auto"/>
          <w:sz w:val="9"/>
          <w:highlight w:val="none"/>
          <w:shd w:val="clear" w:color="auto" w:fill="auto"/>
        </w:rPr>
      </w:pPr>
    </w:p>
    <w:p w14:paraId="431AF5D8">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103" w:name="3.2.5外保护层材料"/>
      <w:bookmarkEnd w:id="103"/>
      <w:bookmarkStart w:id="104" w:name="_Toc22780"/>
      <w:r>
        <w:rPr>
          <w:rFonts w:hint="default" w:ascii="Arial" w:hAnsi="Arial" w:eastAsia="宋体" w:cs="Arial"/>
          <w:b/>
          <w:bCs/>
          <w:color w:val="auto"/>
          <w:sz w:val="24"/>
          <w:szCs w:val="24"/>
          <w:highlight w:val="none"/>
          <w:shd w:val="clear" w:color="auto" w:fill="auto"/>
          <w:lang w:val="en-US" w:eastAsia="zh-CN"/>
        </w:rPr>
        <w:t>3.2.5外保护层材料</w:t>
      </w:r>
      <w:bookmarkEnd w:id="104"/>
    </w:p>
    <w:p w14:paraId="573E7F21">
      <w:pPr>
        <w:pStyle w:val="6"/>
        <w:keepNext w:val="0"/>
        <w:keepLines w:val="0"/>
        <w:pageBreakBefore w:val="0"/>
        <w:widowControl w:val="0"/>
        <w:kinsoku/>
        <w:wordWrap/>
        <w:overflowPunct/>
        <w:topLinePunct w:val="0"/>
        <w:autoSpaceDE/>
        <w:autoSpaceDN/>
        <w:bidi w:val="0"/>
        <w:adjustRightInd/>
        <w:snapToGrid/>
        <w:spacing w:before="8" w:line="360" w:lineRule="auto"/>
        <w:ind w:firstLine="480" w:firstLineChars="200"/>
        <w:textAlignment w:val="auto"/>
        <w:outlineLvl w:val="9"/>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本项目外保护层材料选用铝合金薄板。</w:t>
      </w:r>
    </w:p>
    <w:p w14:paraId="13780010">
      <w:pPr>
        <w:pStyle w:val="6"/>
        <w:keepNext w:val="0"/>
        <w:keepLines w:val="0"/>
        <w:pageBreakBefore w:val="0"/>
        <w:widowControl w:val="0"/>
        <w:kinsoku/>
        <w:wordWrap/>
        <w:overflowPunct/>
        <w:topLinePunct w:val="0"/>
        <w:autoSpaceDE/>
        <w:autoSpaceDN/>
        <w:bidi w:val="0"/>
        <w:adjustRightInd/>
        <w:snapToGrid/>
        <w:spacing w:before="8" w:line="360" w:lineRule="auto"/>
        <w:ind w:firstLine="480" w:firstLineChars="200"/>
        <w:jc w:val="center"/>
        <w:textAlignment w:val="auto"/>
        <w:outlineLvl w:val="9"/>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3.2.5-1：常用金属保护层厚度</w:t>
      </w:r>
    </w:p>
    <w:p w14:paraId="114DBB00">
      <w:pPr>
        <w:pStyle w:val="6"/>
        <w:spacing w:before="3"/>
        <w:rPr>
          <w:rFonts w:hint="default" w:ascii="Arial" w:hAnsi="Arial" w:eastAsia="宋体" w:cs="Arial"/>
          <w:color w:val="auto"/>
          <w:sz w:val="6"/>
          <w:highlight w:val="none"/>
          <w:shd w:val="clear" w:color="auto" w:fill="auto"/>
        </w:rPr>
      </w:pPr>
    </w:p>
    <w:tbl>
      <w:tblPr>
        <w:tblStyle w:val="11"/>
        <w:tblW w:w="0" w:type="auto"/>
        <w:tblInd w:w="55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91"/>
        <w:gridCol w:w="1827"/>
        <w:gridCol w:w="1827"/>
        <w:gridCol w:w="1264"/>
        <w:gridCol w:w="1824"/>
      </w:tblGrid>
      <w:tr w14:paraId="6A464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restart"/>
            <w:noWrap w:val="0"/>
            <w:vAlign w:val="top"/>
          </w:tcPr>
          <w:p w14:paraId="78BE687E">
            <w:pPr>
              <w:pStyle w:val="18"/>
              <w:spacing w:before="1"/>
              <w:jc w:val="left"/>
              <w:rPr>
                <w:rFonts w:hint="default" w:ascii="Arial" w:hAnsi="Arial" w:eastAsia="宋体" w:cs="Arial"/>
                <w:color w:val="auto"/>
                <w:sz w:val="21"/>
                <w:szCs w:val="21"/>
                <w:highlight w:val="none"/>
                <w:shd w:val="clear" w:color="auto" w:fill="auto"/>
              </w:rPr>
            </w:pPr>
          </w:p>
          <w:p w14:paraId="28A4A14D">
            <w:pPr>
              <w:pStyle w:val="18"/>
              <w:ind w:left="346" w:right="34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类别</w:t>
            </w:r>
          </w:p>
        </w:tc>
        <w:tc>
          <w:tcPr>
            <w:tcW w:w="1827" w:type="dxa"/>
            <w:vMerge w:val="restart"/>
            <w:noWrap w:val="0"/>
            <w:vAlign w:val="top"/>
          </w:tcPr>
          <w:p w14:paraId="1528B0CC">
            <w:pPr>
              <w:pStyle w:val="18"/>
              <w:spacing w:before="1"/>
              <w:jc w:val="left"/>
              <w:rPr>
                <w:rFonts w:hint="default" w:ascii="Arial" w:hAnsi="Arial" w:eastAsia="宋体" w:cs="Arial"/>
                <w:color w:val="auto"/>
                <w:sz w:val="21"/>
                <w:szCs w:val="21"/>
                <w:highlight w:val="none"/>
                <w:shd w:val="clear" w:color="auto" w:fill="auto"/>
              </w:rPr>
            </w:pPr>
          </w:p>
          <w:p w14:paraId="558B2DE3">
            <w:pPr>
              <w:pStyle w:val="18"/>
              <w:ind w:left="143"/>
              <w:jc w:val="left"/>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保温层外径(mm)</w:t>
            </w:r>
          </w:p>
        </w:tc>
        <w:tc>
          <w:tcPr>
            <w:tcW w:w="4915" w:type="dxa"/>
            <w:gridSpan w:val="3"/>
            <w:noWrap w:val="0"/>
            <w:vAlign w:val="top"/>
          </w:tcPr>
          <w:p w14:paraId="49ADDA59">
            <w:pPr>
              <w:pStyle w:val="18"/>
              <w:spacing w:before="83"/>
              <w:ind w:left="1774" w:right="176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外保护层(mm)</w:t>
            </w:r>
          </w:p>
        </w:tc>
      </w:tr>
      <w:tr w14:paraId="7F1B3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continue"/>
            <w:tcBorders>
              <w:top w:val="nil"/>
            </w:tcBorders>
            <w:noWrap w:val="0"/>
            <w:vAlign w:val="top"/>
          </w:tcPr>
          <w:p w14:paraId="4ADF34E6">
            <w:pPr>
              <w:rPr>
                <w:rFonts w:hint="default" w:ascii="Arial" w:hAnsi="Arial" w:eastAsia="宋体" w:cs="Arial"/>
                <w:color w:val="auto"/>
                <w:sz w:val="21"/>
                <w:szCs w:val="21"/>
                <w:highlight w:val="none"/>
                <w:shd w:val="clear" w:color="auto" w:fill="auto"/>
              </w:rPr>
            </w:pPr>
          </w:p>
        </w:tc>
        <w:tc>
          <w:tcPr>
            <w:tcW w:w="1827" w:type="dxa"/>
            <w:vMerge w:val="continue"/>
            <w:tcBorders>
              <w:top w:val="nil"/>
            </w:tcBorders>
            <w:noWrap w:val="0"/>
            <w:vAlign w:val="top"/>
          </w:tcPr>
          <w:p w14:paraId="45F57414">
            <w:pPr>
              <w:rPr>
                <w:rFonts w:hint="default" w:ascii="Arial" w:hAnsi="Arial" w:eastAsia="宋体" w:cs="Arial"/>
                <w:color w:val="auto"/>
                <w:sz w:val="21"/>
                <w:szCs w:val="21"/>
                <w:highlight w:val="none"/>
                <w:shd w:val="clear" w:color="auto" w:fill="auto"/>
              </w:rPr>
            </w:pPr>
          </w:p>
        </w:tc>
        <w:tc>
          <w:tcPr>
            <w:tcW w:w="1827" w:type="dxa"/>
            <w:noWrap w:val="0"/>
            <w:vAlign w:val="top"/>
          </w:tcPr>
          <w:p w14:paraId="2D694F47">
            <w:pPr>
              <w:pStyle w:val="18"/>
              <w:spacing w:before="84"/>
              <w:ind w:left="364"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材料</w:t>
            </w:r>
          </w:p>
        </w:tc>
        <w:tc>
          <w:tcPr>
            <w:tcW w:w="1264" w:type="dxa"/>
            <w:noWrap w:val="0"/>
            <w:vAlign w:val="top"/>
          </w:tcPr>
          <w:p w14:paraId="15D91834">
            <w:pPr>
              <w:pStyle w:val="18"/>
              <w:spacing w:before="84"/>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形式</w:t>
            </w:r>
          </w:p>
        </w:tc>
        <w:tc>
          <w:tcPr>
            <w:tcW w:w="1824" w:type="dxa"/>
            <w:noWrap w:val="0"/>
            <w:vAlign w:val="top"/>
          </w:tcPr>
          <w:p w14:paraId="2A36B5E6">
            <w:pPr>
              <w:pStyle w:val="18"/>
              <w:spacing w:before="84"/>
              <w:ind w:left="681" w:right="672"/>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厚度</w:t>
            </w:r>
          </w:p>
        </w:tc>
      </w:tr>
      <w:tr w14:paraId="033C09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restart"/>
            <w:noWrap w:val="0"/>
            <w:vAlign w:val="top"/>
          </w:tcPr>
          <w:p w14:paraId="7E3B1B0D">
            <w:pPr>
              <w:pStyle w:val="18"/>
              <w:spacing w:before="1"/>
              <w:jc w:val="left"/>
              <w:rPr>
                <w:rFonts w:hint="default" w:ascii="Arial" w:hAnsi="Arial" w:eastAsia="宋体" w:cs="Arial"/>
                <w:color w:val="auto"/>
                <w:sz w:val="21"/>
                <w:szCs w:val="21"/>
                <w:highlight w:val="none"/>
                <w:shd w:val="clear" w:color="auto" w:fill="auto"/>
              </w:rPr>
            </w:pPr>
          </w:p>
          <w:p w14:paraId="3F53C5B1">
            <w:pPr>
              <w:pStyle w:val="18"/>
              <w:ind w:left="346" w:right="34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管道</w:t>
            </w:r>
          </w:p>
        </w:tc>
        <w:tc>
          <w:tcPr>
            <w:tcW w:w="1827" w:type="dxa"/>
            <w:noWrap w:val="0"/>
            <w:vAlign w:val="top"/>
          </w:tcPr>
          <w:p w14:paraId="2D3B045E">
            <w:pPr>
              <w:pStyle w:val="18"/>
              <w:spacing w:before="83"/>
              <w:ind w:right="623"/>
              <w:jc w:val="right"/>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5"/>
                <w:sz w:val="21"/>
                <w:szCs w:val="21"/>
                <w:highlight w:val="none"/>
                <w:shd w:val="clear" w:color="auto" w:fill="auto"/>
              </w:rPr>
              <w:t>＜760</w:t>
            </w:r>
          </w:p>
        </w:tc>
        <w:tc>
          <w:tcPr>
            <w:tcW w:w="1827" w:type="dxa"/>
            <w:noWrap w:val="0"/>
            <w:vAlign w:val="top"/>
          </w:tcPr>
          <w:p w14:paraId="693D370C">
            <w:pPr>
              <w:pStyle w:val="18"/>
              <w:spacing w:before="83"/>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36A71E5E">
            <w:pPr>
              <w:pStyle w:val="18"/>
              <w:spacing w:before="83"/>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平板</w:t>
            </w:r>
          </w:p>
        </w:tc>
        <w:tc>
          <w:tcPr>
            <w:tcW w:w="1824" w:type="dxa"/>
            <w:noWrap w:val="0"/>
            <w:vAlign w:val="top"/>
          </w:tcPr>
          <w:p w14:paraId="2C957E80">
            <w:pPr>
              <w:pStyle w:val="18"/>
              <w:spacing w:before="98"/>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0.5</w:t>
            </w:r>
          </w:p>
        </w:tc>
      </w:tr>
      <w:tr w14:paraId="13062E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continue"/>
            <w:tcBorders>
              <w:top w:val="nil"/>
            </w:tcBorders>
            <w:noWrap w:val="0"/>
            <w:vAlign w:val="top"/>
          </w:tcPr>
          <w:p w14:paraId="11B7B736">
            <w:pPr>
              <w:rPr>
                <w:rFonts w:hint="default" w:ascii="Arial" w:hAnsi="Arial" w:eastAsia="宋体" w:cs="Arial"/>
                <w:color w:val="auto"/>
                <w:sz w:val="21"/>
                <w:szCs w:val="21"/>
                <w:highlight w:val="none"/>
                <w:shd w:val="clear" w:color="auto" w:fill="auto"/>
              </w:rPr>
            </w:pPr>
          </w:p>
        </w:tc>
        <w:tc>
          <w:tcPr>
            <w:tcW w:w="1827" w:type="dxa"/>
            <w:noWrap w:val="0"/>
            <w:vAlign w:val="top"/>
          </w:tcPr>
          <w:p w14:paraId="7E012931">
            <w:pPr>
              <w:pStyle w:val="18"/>
              <w:spacing w:before="84"/>
              <w:ind w:right="623"/>
              <w:jc w:val="right"/>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5"/>
                <w:sz w:val="21"/>
                <w:szCs w:val="21"/>
                <w:highlight w:val="none"/>
                <w:shd w:val="clear" w:color="auto" w:fill="auto"/>
              </w:rPr>
              <w:t>≥760</w:t>
            </w:r>
          </w:p>
        </w:tc>
        <w:tc>
          <w:tcPr>
            <w:tcW w:w="1827" w:type="dxa"/>
            <w:noWrap w:val="0"/>
            <w:vAlign w:val="top"/>
          </w:tcPr>
          <w:p w14:paraId="66CB335D">
            <w:pPr>
              <w:pStyle w:val="18"/>
              <w:spacing w:before="84"/>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51A05129">
            <w:pPr>
              <w:pStyle w:val="18"/>
              <w:spacing w:before="84"/>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平板</w:t>
            </w:r>
          </w:p>
        </w:tc>
        <w:tc>
          <w:tcPr>
            <w:tcW w:w="1824" w:type="dxa"/>
            <w:noWrap w:val="0"/>
            <w:vAlign w:val="top"/>
          </w:tcPr>
          <w:p w14:paraId="64E34B1F">
            <w:pPr>
              <w:pStyle w:val="18"/>
              <w:spacing w:before="97"/>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0.8</w:t>
            </w:r>
          </w:p>
        </w:tc>
      </w:tr>
      <w:tr w14:paraId="53A367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restart"/>
            <w:noWrap w:val="0"/>
            <w:vAlign w:val="top"/>
          </w:tcPr>
          <w:p w14:paraId="34E1EFBD">
            <w:pPr>
              <w:pStyle w:val="18"/>
              <w:spacing w:before="1"/>
              <w:jc w:val="left"/>
              <w:rPr>
                <w:rFonts w:hint="default" w:ascii="Arial" w:hAnsi="Arial" w:eastAsia="宋体" w:cs="Arial"/>
                <w:color w:val="auto"/>
                <w:sz w:val="21"/>
                <w:szCs w:val="21"/>
                <w:highlight w:val="none"/>
                <w:shd w:val="clear" w:color="auto" w:fill="auto"/>
              </w:rPr>
            </w:pPr>
          </w:p>
          <w:p w14:paraId="5F32E85E">
            <w:pPr>
              <w:pStyle w:val="18"/>
              <w:ind w:left="346" w:right="34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设备</w:t>
            </w:r>
          </w:p>
        </w:tc>
        <w:tc>
          <w:tcPr>
            <w:tcW w:w="1827" w:type="dxa"/>
            <w:noWrap w:val="0"/>
            <w:vAlign w:val="top"/>
          </w:tcPr>
          <w:p w14:paraId="704925A8">
            <w:pPr>
              <w:pStyle w:val="18"/>
              <w:spacing w:before="83"/>
              <w:ind w:right="623"/>
              <w:jc w:val="right"/>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5"/>
                <w:sz w:val="21"/>
                <w:szCs w:val="21"/>
                <w:highlight w:val="none"/>
                <w:shd w:val="clear" w:color="auto" w:fill="auto"/>
              </w:rPr>
              <w:t>＜760</w:t>
            </w:r>
          </w:p>
        </w:tc>
        <w:tc>
          <w:tcPr>
            <w:tcW w:w="1827" w:type="dxa"/>
            <w:noWrap w:val="0"/>
            <w:vAlign w:val="top"/>
          </w:tcPr>
          <w:p w14:paraId="2DD47E8A">
            <w:pPr>
              <w:pStyle w:val="18"/>
              <w:spacing w:before="83"/>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086ADF9E">
            <w:pPr>
              <w:pStyle w:val="18"/>
              <w:spacing w:before="83"/>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平板</w:t>
            </w:r>
          </w:p>
        </w:tc>
        <w:tc>
          <w:tcPr>
            <w:tcW w:w="1824" w:type="dxa"/>
            <w:noWrap w:val="0"/>
            <w:vAlign w:val="top"/>
          </w:tcPr>
          <w:p w14:paraId="5DFDC247">
            <w:pPr>
              <w:pStyle w:val="18"/>
              <w:spacing w:before="98"/>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0.5</w:t>
            </w:r>
          </w:p>
        </w:tc>
      </w:tr>
      <w:tr w14:paraId="3312FA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vMerge w:val="continue"/>
            <w:tcBorders>
              <w:top w:val="nil"/>
            </w:tcBorders>
            <w:noWrap w:val="0"/>
            <w:vAlign w:val="top"/>
          </w:tcPr>
          <w:p w14:paraId="098A7169">
            <w:pPr>
              <w:rPr>
                <w:rFonts w:hint="default" w:ascii="Arial" w:hAnsi="Arial" w:eastAsia="宋体" w:cs="Arial"/>
                <w:color w:val="auto"/>
                <w:sz w:val="21"/>
                <w:szCs w:val="21"/>
                <w:highlight w:val="none"/>
                <w:shd w:val="clear" w:color="auto" w:fill="auto"/>
              </w:rPr>
            </w:pPr>
          </w:p>
        </w:tc>
        <w:tc>
          <w:tcPr>
            <w:tcW w:w="1827" w:type="dxa"/>
            <w:noWrap w:val="0"/>
            <w:vAlign w:val="top"/>
          </w:tcPr>
          <w:p w14:paraId="3C4ACD7A">
            <w:pPr>
              <w:pStyle w:val="18"/>
              <w:spacing w:before="84"/>
              <w:ind w:right="623"/>
              <w:jc w:val="right"/>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5"/>
                <w:sz w:val="21"/>
                <w:szCs w:val="21"/>
                <w:highlight w:val="none"/>
                <w:shd w:val="clear" w:color="auto" w:fill="auto"/>
              </w:rPr>
              <w:t>≥760</w:t>
            </w:r>
          </w:p>
        </w:tc>
        <w:tc>
          <w:tcPr>
            <w:tcW w:w="1827" w:type="dxa"/>
            <w:noWrap w:val="0"/>
            <w:vAlign w:val="top"/>
          </w:tcPr>
          <w:p w14:paraId="37A9F0A1">
            <w:pPr>
              <w:pStyle w:val="18"/>
              <w:spacing w:before="84"/>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3B643074">
            <w:pPr>
              <w:pStyle w:val="18"/>
              <w:spacing w:before="84"/>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平板</w:t>
            </w:r>
          </w:p>
        </w:tc>
        <w:tc>
          <w:tcPr>
            <w:tcW w:w="1824" w:type="dxa"/>
            <w:noWrap w:val="0"/>
            <w:vAlign w:val="top"/>
          </w:tcPr>
          <w:p w14:paraId="580F042D">
            <w:pPr>
              <w:pStyle w:val="18"/>
              <w:spacing w:before="97"/>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0.8</w:t>
            </w:r>
          </w:p>
        </w:tc>
      </w:tr>
      <w:tr w14:paraId="4432E0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791" w:type="dxa"/>
            <w:noWrap w:val="0"/>
            <w:vAlign w:val="top"/>
          </w:tcPr>
          <w:p w14:paraId="33930AE5">
            <w:pPr>
              <w:pStyle w:val="18"/>
              <w:spacing w:before="83"/>
              <w:ind w:left="349" w:right="34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立式储罐</w:t>
            </w:r>
          </w:p>
        </w:tc>
        <w:tc>
          <w:tcPr>
            <w:tcW w:w="1827" w:type="dxa"/>
            <w:noWrap w:val="0"/>
            <w:vAlign w:val="top"/>
          </w:tcPr>
          <w:p w14:paraId="2DEDFDB9">
            <w:pPr>
              <w:pStyle w:val="18"/>
              <w:spacing w:before="83"/>
              <w:ind w:right="567"/>
              <w:jc w:val="right"/>
              <w:rPr>
                <w:rFonts w:hint="default" w:ascii="Arial" w:hAnsi="Arial" w:eastAsia="宋体" w:cs="Arial"/>
                <w:color w:val="auto"/>
                <w:sz w:val="21"/>
                <w:szCs w:val="21"/>
                <w:highlight w:val="none"/>
                <w:shd w:val="clear" w:color="auto" w:fill="auto"/>
              </w:rPr>
            </w:pPr>
            <w:r>
              <w:rPr>
                <w:rFonts w:hint="default" w:ascii="Arial" w:hAnsi="Arial" w:eastAsia="宋体" w:cs="Arial"/>
                <w:color w:val="auto"/>
                <w:w w:val="95"/>
                <w:sz w:val="21"/>
                <w:szCs w:val="21"/>
                <w:highlight w:val="none"/>
                <w:shd w:val="clear" w:color="auto" w:fill="auto"/>
              </w:rPr>
              <w:t>≥3000</w:t>
            </w:r>
          </w:p>
        </w:tc>
        <w:tc>
          <w:tcPr>
            <w:tcW w:w="1827" w:type="dxa"/>
            <w:noWrap w:val="0"/>
            <w:vAlign w:val="top"/>
          </w:tcPr>
          <w:p w14:paraId="15412B80">
            <w:pPr>
              <w:pStyle w:val="18"/>
              <w:spacing w:before="83"/>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05F4D3BD">
            <w:pPr>
              <w:pStyle w:val="18"/>
              <w:spacing w:before="83"/>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压型板</w:t>
            </w:r>
          </w:p>
        </w:tc>
        <w:tc>
          <w:tcPr>
            <w:tcW w:w="1824" w:type="dxa"/>
            <w:noWrap w:val="0"/>
            <w:vAlign w:val="top"/>
          </w:tcPr>
          <w:p w14:paraId="147F73E5">
            <w:pPr>
              <w:pStyle w:val="18"/>
              <w:spacing w:before="98"/>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0.8</w:t>
            </w:r>
          </w:p>
        </w:tc>
      </w:tr>
      <w:tr w14:paraId="27AAB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1791" w:type="dxa"/>
            <w:noWrap w:val="0"/>
            <w:vAlign w:val="top"/>
          </w:tcPr>
          <w:p w14:paraId="3C1F3176">
            <w:pPr>
              <w:pStyle w:val="18"/>
              <w:spacing w:before="84"/>
              <w:ind w:left="349" w:right="34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不规则表面</w:t>
            </w:r>
          </w:p>
        </w:tc>
        <w:tc>
          <w:tcPr>
            <w:tcW w:w="1827" w:type="dxa"/>
            <w:noWrap w:val="0"/>
            <w:vAlign w:val="top"/>
          </w:tcPr>
          <w:p w14:paraId="78B5BFAD">
            <w:pPr>
              <w:pStyle w:val="18"/>
              <w:spacing w:before="84"/>
              <w:ind w:left="366"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所有</w:t>
            </w:r>
          </w:p>
        </w:tc>
        <w:tc>
          <w:tcPr>
            <w:tcW w:w="1827" w:type="dxa"/>
            <w:noWrap w:val="0"/>
            <w:vAlign w:val="top"/>
          </w:tcPr>
          <w:p w14:paraId="7A5F125A">
            <w:pPr>
              <w:pStyle w:val="18"/>
              <w:spacing w:before="84"/>
              <w:ind w:left="367" w:right="35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铝合金薄板</w:t>
            </w:r>
          </w:p>
        </w:tc>
        <w:tc>
          <w:tcPr>
            <w:tcW w:w="1264" w:type="dxa"/>
            <w:noWrap w:val="0"/>
            <w:vAlign w:val="top"/>
          </w:tcPr>
          <w:p w14:paraId="79DDE88F">
            <w:pPr>
              <w:pStyle w:val="18"/>
              <w:spacing w:before="84"/>
              <w:ind w:left="295" w:right="289"/>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平板</w:t>
            </w:r>
          </w:p>
        </w:tc>
        <w:tc>
          <w:tcPr>
            <w:tcW w:w="1824" w:type="dxa"/>
            <w:noWrap w:val="0"/>
            <w:vAlign w:val="top"/>
          </w:tcPr>
          <w:p w14:paraId="03866FC7">
            <w:pPr>
              <w:pStyle w:val="18"/>
              <w:spacing w:before="97"/>
              <w:ind w:left="681" w:right="671"/>
              <w:rPr>
                <w:rFonts w:hint="default" w:ascii="Arial" w:hAnsi="Arial" w:eastAsia="宋体" w:cs="Arial"/>
                <w:color w:val="auto"/>
                <w:sz w:val="21"/>
                <w:szCs w:val="21"/>
                <w:highlight w:val="none"/>
                <w:shd w:val="clear" w:color="auto" w:fill="auto"/>
              </w:rPr>
            </w:pPr>
            <w:r>
              <w:rPr>
                <w:rFonts w:hint="default" w:ascii="Arial" w:hAnsi="Arial" w:eastAsia="宋体" w:cs="Arial"/>
                <w:color w:val="auto"/>
                <w:sz w:val="21"/>
                <w:szCs w:val="21"/>
                <w:highlight w:val="none"/>
                <w:shd w:val="clear" w:color="auto" w:fill="auto"/>
              </w:rPr>
              <w:t>0.8</w:t>
            </w:r>
          </w:p>
        </w:tc>
      </w:tr>
    </w:tbl>
    <w:p w14:paraId="6A5267B0">
      <w:pPr>
        <w:spacing w:before="101"/>
        <w:ind w:left="555" w:right="0" w:firstLine="0"/>
        <w:jc w:val="left"/>
        <w:rPr>
          <w:rFonts w:hint="default" w:ascii="Arial" w:hAnsi="Arial" w:eastAsia="宋体" w:cs="Arial"/>
          <w:color w:val="auto"/>
          <w:sz w:val="15"/>
          <w:highlight w:val="none"/>
          <w:shd w:val="clear" w:color="auto" w:fill="auto"/>
        </w:rPr>
      </w:pPr>
      <w:r>
        <w:rPr>
          <w:rFonts w:hint="default" w:ascii="Arial" w:hAnsi="Arial" w:eastAsia="宋体" w:cs="Arial"/>
          <w:color w:val="auto"/>
          <w:sz w:val="21"/>
          <w:highlight w:val="none"/>
          <w:shd w:val="clear" w:color="auto" w:fill="auto"/>
        </w:rPr>
        <w:t>注：</w:t>
      </w:r>
    </w:p>
    <w:p w14:paraId="0E296947">
      <w:pPr>
        <w:keepNext w:val="0"/>
        <w:keepLines w:val="0"/>
        <w:pageBreakBefore w:val="0"/>
        <w:widowControl/>
        <w:numPr>
          <w:ilvl w:val="0"/>
          <w:numId w:val="12"/>
        </w:numPr>
        <w:kinsoku/>
        <w:wordWrap/>
        <w:overflowPunct/>
        <w:topLinePunct w:val="0"/>
        <w:autoSpaceDE/>
        <w:autoSpaceDN/>
        <w:bidi w:val="0"/>
        <w:adjustRightInd/>
        <w:snapToGrid/>
        <w:ind w:left="0" w:leftChars="0" w:firstLine="480" w:firstLineChars="200"/>
        <w:textAlignment w:val="auto"/>
        <w:rPr>
          <w:rFonts w:hint="default" w:ascii="Arial" w:hAnsi="Arial" w:eastAsia="宋体" w:cs="Arial"/>
          <w:sz w:val="24"/>
          <w:szCs w:val="24"/>
        </w:rPr>
      </w:pPr>
      <w:r>
        <w:rPr>
          <w:rFonts w:hint="default" w:ascii="Arial" w:hAnsi="Arial" w:eastAsia="宋体" w:cs="Arial"/>
          <w:sz w:val="24"/>
          <w:szCs w:val="24"/>
        </w:rPr>
        <w:t>选用压型板可根据其产品强度和韧性的增加在平板厚度的基础上适当减薄。</w:t>
      </w:r>
    </w:p>
    <w:p w14:paraId="1E0FC4EB">
      <w:pPr>
        <w:keepNext w:val="0"/>
        <w:keepLines w:val="0"/>
        <w:pageBreakBefore w:val="0"/>
        <w:widowControl/>
        <w:numPr>
          <w:ilvl w:val="0"/>
          <w:numId w:val="12"/>
        </w:numPr>
        <w:kinsoku/>
        <w:wordWrap/>
        <w:overflowPunct/>
        <w:topLinePunct w:val="0"/>
        <w:autoSpaceDE/>
        <w:autoSpaceDN/>
        <w:bidi w:val="0"/>
        <w:adjustRightInd/>
        <w:snapToGrid/>
        <w:ind w:left="0" w:leftChars="0" w:firstLine="480" w:firstLineChars="200"/>
        <w:textAlignment w:val="auto"/>
        <w:rPr>
          <w:rFonts w:hint="default" w:ascii="Arial" w:hAnsi="Arial" w:eastAsia="宋体" w:cs="Arial"/>
          <w:sz w:val="24"/>
          <w:szCs w:val="24"/>
          <w:lang w:val="en-US" w:eastAsia="zh-CN"/>
        </w:rPr>
      </w:pPr>
      <w:r>
        <w:rPr>
          <w:rFonts w:hint="default" w:ascii="Arial" w:hAnsi="Arial" w:eastAsia="宋体" w:cs="Arial"/>
          <w:sz w:val="24"/>
          <w:szCs w:val="24"/>
        </w:rPr>
        <w:t>金属保护层接缝型式可根据具体情况，选用搭接、插接、咬接及嵌接型式。</w:t>
      </w:r>
      <w:bookmarkStart w:id="105" w:name="3.2.6紧固材料"/>
      <w:bookmarkEnd w:id="105"/>
      <w:bookmarkStart w:id="106" w:name="_Toc7975"/>
    </w:p>
    <w:p w14:paraId="71592EF1">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3.2.6紧固材料</w:t>
      </w:r>
      <w:bookmarkEnd w:id="106"/>
    </w:p>
    <w:p w14:paraId="4980BD8C">
      <w:pPr>
        <w:pStyle w:val="6"/>
        <w:keepNext w:val="0"/>
        <w:keepLines w:val="0"/>
        <w:pageBreakBefore w:val="0"/>
        <w:widowControl w:val="0"/>
        <w:kinsoku/>
        <w:wordWrap/>
        <w:overflowPunct/>
        <w:topLinePunct w:val="0"/>
        <w:autoSpaceDE/>
        <w:autoSpaceDN/>
        <w:bidi w:val="0"/>
        <w:adjustRightInd/>
        <w:snapToGrid/>
        <w:spacing w:before="8" w:line="360" w:lineRule="auto"/>
        <w:ind w:firstLine="480" w:firstLineChars="200"/>
        <w:textAlignment w:val="auto"/>
        <w:outlineLvl w:val="9"/>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用于保温层和防烫伤保温层材料的紧固材料选用镀锌铁丝或钢带。紧固材料可按下表选用。</w:t>
      </w:r>
    </w:p>
    <w:p w14:paraId="7E77EDFC">
      <w:pPr>
        <w:spacing w:before="0" w:line="256" w:lineRule="exact"/>
        <w:ind w:left="1806" w:right="1918" w:firstLine="0"/>
        <w:jc w:val="center"/>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3.2.6-1：紧固材料的选用</w:t>
      </w:r>
    </w:p>
    <w:p w14:paraId="618E06DB">
      <w:pPr>
        <w:pStyle w:val="6"/>
        <w:spacing w:before="3"/>
        <w:rPr>
          <w:rFonts w:hint="default" w:ascii="Arial" w:hAnsi="Arial" w:eastAsia="宋体" w:cs="Arial"/>
          <w:color w:val="auto"/>
          <w:sz w:val="6"/>
          <w:highlight w:val="none"/>
          <w:shd w:val="clear" w:color="auto" w:fill="auto"/>
        </w:rPr>
      </w:pPr>
    </w:p>
    <w:tbl>
      <w:tblPr>
        <w:tblStyle w:val="11"/>
        <w:tblW w:w="0" w:type="auto"/>
        <w:tblInd w:w="6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1"/>
        <w:gridCol w:w="1142"/>
        <w:gridCol w:w="1414"/>
        <w:gridCol w:w="1871"/>
        <w:gridCol w:w="3399"/>
      </w:tblGrid>
      <w:tr w14:paraId="16986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511" w:type="dxa"/>
            <w:noWrap w:val="0"/>
            <w:vAlign w:val="center"/>
          </w:tcPr>
          <w:p w14:paraId="68BA601D">
            <w:pPr>
              <w:jc w:val="center"/>
              <w:rPr>
                <w:rFonts w:hint="default" w:ascii="Arial" w:hAnsi="Arial" w:eastAsia="宋体" w:cs="Arial"/>
                <w:sz w:val="21"/>
                <w:szCs w:val="21"/>
              </w:rPr>
            </w:pPr>
            <w:r>
              <w:rPr>
                <w:rFonts w:hint="default" w:ascii="Arial" w:hAnsi="Arial" w:eastAsia="宋体" w:cs="Arial"/>
                <w:sz w:val="21"/>
                <w:szCs w:val="21"/>
              </w:rPr>
              <w:t>序号</w:t>
            </w:r>
          </w:p>
        </w:tc>
        <w:tc>
          <w:tcPr>
            <w:tcW w:w="1142" w:type="dxa"/>
            <w:noWrap w:val="0"/>
            <w:vAlign w:val="center"/>
          </w:tcPr>
          <w:p w14:paraId="073D69B9">
            <w:pPr>
              <w:jc w:val="center"/>
              <w:rPr>
                <w:rFonts w:hint="default" w:ascii="Arial" w:hAnsi="Arial" w:eastAsia="宋体" w:cs="Arial"/>
                <w:sz w:val="21"/>
                <w:szCs w:val="21"/>
              </w:rPr>
            </w:pPr>
            <w:r>
              <w:rPr>
                <w:rFonts w:hint="default" w:ascii="Arial" w:hAnsi="Arial" w:eastAsia="宋体" w:cs="Arial"/>
                <w:sz w:val="21"/>
                <w:szCs w:val="21"/>
              </w:rPr>
              <w:t>材料</w:t>
            </w:r>
          </w:p>
        </w:tc>
        <w:tc>
          <w:tcPr>
            <w:tcW w:w="1414" w:type="dxa"/>
            <w:noWrap w:val="0"/>
            <w:vAlign w:val="center"/>
          </w:tcPr>
          <w:p w14:paraId="1487AB66">
            <w:pPr>
              <w:jc w:val="center"/>
              <w:rPr>
                <w:rFonts w:hint="default" w:ascii="Arial" w:hAnsi="Arial" w:eastAsia="宋体" w:cs="Arial"/>
                <w:sz w:val="21"/>
                <w:szCs w:val="21"/>
              </w:rPr>
            </w:pPr>
            <w:r>
              <w:rPr>
                <w:rFonts w:hint="default" w:ascii="Arial" w:hAnsi="Arial" w:eastAsia="宋体" w:cs="Arial"/>
                <w:sz w:val="21"/>
                <w:szCs w:val="21"/>
              </w:rPr>
              <w:t>标准</w:t>
            </w:r>
          </w:p>
        </w:tc>
        <w:tc>
          <w:tcPr>
            <w:tcW w:w="1871" w:type="dxa"/>
            <w:noWrap w:val="0"/>
            <w:vAlign w:val="center"/>
          </w:tcPr>
          <w:p w14:paraId="69E06C61">
            <w:pPr>
              <w:jc w:val="center"/>
              <w:rPr>
                <w:rFonts w:hint="default" w:ascii="Arial" w:hAnsi="Arial" w:eastAsia="宋体" w:cs="Arial"/>
                <w:sz w:val="21"/>
                <w:szCs w:val="21"/>
              </w:rPr>
            </w:pPr>
            <w:r>
              <w:rPr>
                <w:rFonts w:hint="default" w:ascii="Arial" w:hAnsi="Arial" w:eastAsia="宋体" w:cs="Arial"/>
                <w:sz w:val="21"/>
                <w:szCs w:val="21"/>
              </w:rPr>
              <w:t>规格 (mm)</w:t>
            </w:r>
          </w:p>
        </w:tc>
        <w:tc>
          <w:tcPr>
            <w:tcW w:w="3399" w:type="dxa"/>
            <w:noWrap w:val="0"/>
            <w:vAlign w:val="center"/>
          </w:tcPr>
          <w:p w14:paraId="0FABEB79">
            <w:pPr>
              <w:jc w:val="center"/>
              <w:rPr>
                <w:rFonts w:hint="default" w:ascii="Arial" w:hAnsi="Arial" w:eastAsia="宋体" w:cs="Arial"/>
                <w:sz w:val="21"/>
                <w:szCs w:val="21"/>
              </w:rPr>
            </w:pPr>
            <w:r>
              <w:rPr>
                <w:rFonts w:hint="default" w:ascii="Arial" w:hAnsi="Arial" w:eastAsia="宋体" w:cs="Arial"/>
                <w:sz w:val="21"/>
                <w:szCs w:val="21"/>
              </w:rPr>
              <w:t>应用</w:t>
            </w:r>
          </w:p>
        </w:tc>
      </w:tr>
      <w:tr w14:paraId="00831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511" w:type="dxa"/>
            <w:vMerge w:val="restart"/>
            <w:noWrap w:val="0"/>
            <w:vAlign w:val="center"/>
          </w:tcPr>
          <w:p w14:paraId="10F52788">
            <w:pPr>
              <w:jc w:val="center"/>
              <w:rPr>
                <w:rFonts w:hint="default" w:ascii="Arial" w:hAnsi="Arial" w:eastAsia="宋体" w:cs="Arial"/>
                <w:sz w:val="21"/>
                <w:szCs w:val="21"/>
              </w:rPr>
            </w:pPr>
            <w:r>
              <w:rPr>
                <w:rFonts w:hint="default" w:ascii="Arial" w:hAnsi="Arial" w:eastAsia="宋体" w:cs="Arial"/>
                <w:sz w:val="21"/>
                <w:szCs w:val="21"/>
              </w:rPr>
              <w:t>1</w:t>
            </w:r>
          </w:p>
        </w:tc>
        <w:tc>
          <w:tcPr>
            <w:tcW w:w="1142" w:type="dxa"/>
            <w:vMerge w:val="restart"/>
            <w:noWrap w:val="0"/>
            <w:vAlign w:val="center"/>
          </w:tcPr>
          <w:p w14:paraId="7A280299">
            <w:pPr>
              <w:jc w:val="center"/>
              <w:rPr>
                <w:rFonts w:hint="default" w:ascii="Arial" w:hAnsi="Arial" w:eastAsia="宋体" w:cs="Arial"/>
                <w:sz w:val="21"/>
                <w:szCs w:val="21"/>
              </w:rPr>
            </w:pPr>
            <w:r>
              <w:rPr>
                <w:rFonts w:hint="default" w:ascii="Arial" w:hAnsi="Arial" w:eastAsia="宋体" w:cs="Arial"/>
                <w:sz w:val="21"/>
                <w:szCs w:val="21"/>
              </w:rPr>
              <w:t>镀锌铁丝</w:t>
            </w:r>
          </w:p>
        </w:tc>
        <w:tc>
          <w:tcPr>
            <w:tcW w:w="1414" w:type="dxa"/>
            <w:vMerge w:val="restart"/>
            <w:noWrap w:val="0"/>
            <w:vAlign w:val="center"/>
          </w:tcPr>
          <w:p w14:paraId="609D0D36">
            <w:pPr>
              <w:jc w:val="center"/>
              <w:rPr>
                <w:rFonts w:hint="default" w:ascii="Arial" w:hAnsi="Arial" w:eastAsia="宋体" w:cs="Arial"/>
                <w:sz w:val="21"/>
                <w:szCs w:val="21"/>
              </w:rPr>
            </w:pPr>
            <w:r>
              <w:rPr>
                <w:rFonts w:hint="default" w:ascii="Arial" w:hAnsi="Arial" w:eastAsia="宋体" w:cs="Arial"/>
                <w:sz w:val="21"/>
                <w:szCs w:val="21"/>
              </w:rPr>
              <w:t>YB/T 5294</w:t>
            </w:r>
          </w:p>
        </w:tc>
        <w:tc>
          <w:tcPr>
            <w:tcW w:w="1871" w:type="dxa"/>
            <w:noWrap w:val="0"/>
            <w:vAlign w:val="center"/>
          </w:tcPr>
          <w:p w14:paraId="1BCD35E0">
            <w:pPr>
              <w:jc w:val="center"/>
              <w:rPr>
                <w:rFonts w:hint="default" w:ascii="Arial" w:hAnsi="Arial" w:eastAsia="宋体" w:cs="Arial"/>
                <w:sz w:val="21"/>
                <w:szCs w:val="21"/>
              </w:rPr>
            </w:pPr>
            <w:r>
              <w:rPr>
                <w:rFonts w:hint="default" w:ascii="Arial" w:hAnsi="Arial" w:eastAsia="宋体" w:cs="Arial"/>
                <w:sz w:val="21"/>
                <w:szCs w:val="21"/>
              </w:rPr>
              <w:t>#18( 1.2)双股</w:t>
            </w:r>
          </w:p>
        </w:tc>
        <w:tc>
          <w:tcPr>
            <w:tcW w:w="3399" w:type="dxa"/>
            <w:noWrap w:val="0"/>
            <w:vAlign w:val="center"/>
          </w:tcPr>
          <w:p w14:paraId="63E8A5DF">
            <w:pPr>
              <w:jc w:val="center"/>
              <w:rPr>
                <w:rFonts w:hint="default" w:ascii="Arial" w:hAnsi="Arial" w:eastAsia="宋体" w:cs="Arial"/>
                <w:sz w:val="21"/>
                <w:szCs w:val="21"/>
              </w:rPr>
            </w:pPr>
            <w:r>
              <w:rPr>
                <w:rFonts w:hint="default" w:ascii="Arial" w:hAnsi="Arial" w:eastAsia="宋体" w:cs="Arial"/>
                <w:sz w:val="21"/>
                <w:szCs w:val="21"/>
              </w:rPr>
              <w:t>DN≤300 的管道</w:t>
            </w:r>
          </w:p>
        </w:tc>
      </w:tr>
      <w:tr w14:paraId="6A451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511" w:type="dxa"/>
            <w:vMerge w:val="continue"/>
            <w:tcBorders>
              <w:top w:val="nil"/>
            </w:tcBorders>
            <w:noWrap w:val="0"/>
            <w:vAlign w:val="center"/>
          </w:tcPr>
          <w:p w14:paraId="68333075">
            <w:pPr>
              <w:jc w:val="center"/>
              <w:rPr>
                <w:rFonts w:hint="default" w:ascii="Arial" w:hAnsi="Arial" w:eastAsia="宋体" w:cs="Arial"/>
                <w:sz w:val="21"/>
                <w:szCs w:val="21"/>
              </w:rPr>
            </w:pPr>
          </w:p>
        </w:tc>
        <w:tc>
          <w:tcPr>
            <w:tcW w:w="1142" w:type="dxa"/>
            <w:vMerge w:val="continue"/>
            <w:tcBorders>
              <w:top w:val="nil"/>
            </w:tcBorders>
            <w:noWrap w:val="0"/>
            <w:vAlign w:val="center"/>
          </w:tcPr>
          <w:p w14:paraId="29CE6788">
            <w:pPr>
              <w:jc w:val="center"/>
              <w:rPr>
                <w:rFonts w:hint="default" w:ascii="Arial" w:hAnsi="Arial" w:eastAsia="宋体" w:cs="Arial"/>
                <w:sz w:val="21"/>
                <w:szCs w:val="21"/>
              </w:rPr>
            </w:pPr>
          </w:p>
        </w:tc>
        <w:tc>
          <w:tcPr>
            <w:tcW w:w="1414" w:type="dxa"/>
            <w:vMerge w:val="continue"/>
            <w:tcBorders>
              <w:top w:val="nil"/>
            </w:tcBorders>
            <w:noWrap w:val="0"/>
            <w:vAlign w:val="center"/>
          </w:tcPr>
          <w:p w14:paraId="3BC419E4">
            <w:pPr>
              <w:jc w:val="center"/>
              <w:rPr>
                <w:rFonts w:hint="default" w:ascii="Arial" w:hAnsi="Arial" w:eastAsia="宋体" w:cs="Arial"/>
                <w:sz w:val="21"/>
                <w:szCs w:val="21"/>
              </w:rPr>
            </w:pPr>
          </w:p>
        </w:tc>
        <w:tc>
          <w:tcPr>
            <w:tcW w:w="1871" w:type="dxa"/>
            <w:noWrap w:val="0"/>
            <w:vAlign w:val="center"/>
          </w:tcPr>
          <w:p w14:paraId="6B7F1198">
            <w:pPr>
              <w:jc w:val="center"/>
              <w:rPr>
                <w:rFonts w:hint="default" w:ascii="Arial" w:hAnsi="Arial" w:eastAsia="宋体" w:cs="Arial"/>
                <w:sz w:val="21"/>
                <w:szCs w:val="21"/>
              </w:rPr>
            </w:pPr>
            <w:r>
              <w:rPr>
                <w:rFonts w:hint="default" w:ascii="Arial" w:hAnsi="Arial" w:eastAsia="宋体" w:cs="Arial"/>
                <w:sz w:val="21"/>
                <w:szCs w:val="21"/>
              </w:rPr>
              <w:t>#16(1.6)双股</w:t>
            </w:r>
          </w:p>
        </w:tc>
        <w:tc>
          <w:tcPr>
            <w:tcW w:w="3399" w:type="dxa"/>
            <w:noWrap w:val="0"/>
            <w:vAlign w:val="center"/>
          </w:tcPr>
          <w:p w14:paraId="111377A4">
            <w:pPr>
              <w:jc w:val="center"/>
              <w:rPr>
                <w:rFonts w:hint="default" w:ascii="Arial" w:hAnsi="Arial" w:eastAsia="宋体" w:cs="Arial"/>
                <w:sz w:val="21"/>
                <w:szCs w:val="21"/>
              </w:rPr>
            </w:pPr>
            <w:r>
              <w:rPr>
                <w:rFonts w:hint="default" w:ascii="Arial" w:hAnsi="Arial" w:eastAsia="宋体" w:cs="Arial"/>
                <w:sz w:val="21"/>
                <w:szCs w:val="21"/>
              </w:rPr>
              <w:t>DN 300～DN 600 的设备和管道</w:t>
            </w:r>
          </w:p>
        </w:tc>
      </w:tr>
      <w:tr w14:paraId="290DC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511" w:type="dxa"/>
            <w:vMerge w:val="restart"/>
            <w:noWrap w:val="0"/>
            <w:vAlign w:val="center"/>
          </w:tcPr>
          <w:p w14:paraId="40EB936F">
            <w:pPr>
              <w:jc w:val="center"/>
              <w:rPr>
                <w:rFonts w:hint="default" w:ascii="Arial" w:hAnsi="Arial" w:eastAsia="宋体" w:cs="Arial"/>
                <w:sz w:val="21"/>
                <w:szCs w:val="21"/>
              </w:rPr>
            </w:pPr>
            <w:r>
              <w:rPr>
                <w:rFonts w:hint="default" w:ascii="Arial" w:hAnsi="Arial" w:eastAsia="宋体" w:cs="Arial"/>
                <w:sz w:val="21"/>
                <w:szCs w:val="21"/>
              </w:rPr>
              <w:t>2</w:t>
            </w:r>
          </w:p>
        </w:tc>
        <w:tc>
          <w:tcPr>
            <w:tcW w:w="1142" w:type="dxa"/>
            <w:vMerge w:val="restart"/>
            <w:noWrap w:val="0"/>
            <w:vAlign w:val="center"/>
          </w:tcPr>
          <w:p w14:paraId="25FB1474">
            <w:pPr>
              <w:jc w:val="center"/>
              <w:rPr>
                <w:rFonts w:hint="default" w:ascii="Arial" w:hAnsi="Arial" w:eastAsia="宋体" w:cs="Arial"/>
                <w:sz w:val="21"/>
                <w:szCs w:val="21"/>
              </w:rPr>
            </w:pPr>
            <w:r>
              <w:rPr>
                <w:rFonts w:hint="default" w:ascii="Arial" w:hAnsi="Arial" w:eastAsia="宋体" w:cs="Arial"/>
                <w:sz w:val="21"/>
                <w:szCs w:val="21"/>
              </w:rPr>
              <w:t>镀锌钢带</w:t>
            </w:r>
          </w:p>
        </w:tc>
        <w:tc>
          <w:tcPr>
            <w:tcW w:w="1414" w:type="dxa"/>
            <w:vMerge w:val="restart"/>
            <w:noWrap w:val="0"/>
            <w:vAlign w:val="center"/>
          </w:tcPr>
          <w:p w14:paraId="4F1F9E47">
            <w:pPr>
              <w:jc w:val="center"/>
              <w:rPr>
                <w:rFonts w:hint="default" w:ascii="Arial" w:hAnsi="Arial" w:eastAsia="宋体" w:cs="Arial"/>
                <w:sz w:val="21"/>
                <w:szCs w:val="21"/>
              </w:rPr>
            </w:pPr>
            <w:r>
              <w:rPr>
                <w:rFonts w:hint="default" w:ascii="Arial" w:hAnsi="Arial" w:eastAsia="宋体" w:cs="Arial"/>
                <w:sz w:val="21"/>
                <w:szCs w:val="21"/>
              </w:rPr>
              <w:t>GB/T 2518</w:t>
            </w:r>
          </w:p>
        </w:tc>
        <w:tc>
          <w:tcPr>
            <w:tcW w:w="1871" w:type="dxa"/>
            <w:noWrap w:val="0"/>
            <w:vAlign w:val="center"/>
          </w:tcPr>
          <w:p w14:paraId="23595DF8">
            <w:pPr>
              <w:jc w:val="center"/>
              <w:rPr>
                <w:rFonts w:hint="default" w:ascii="Arial" w:hAnsi="Arial" w:eastAsia="宋体" w:cs="Arial"/>
                <w:sz w:val="21"/>
                <w:szCs w:val="21"/>
              </w:rPr>
            </w:pPr>
            <w:r>
              <w:rPr>
                <w:rFonts w:hint="default" w:ascii="Arial" w:hAnsi="Arial" w:eastAsia="宋体" w:cs="Arial"/>
                <w:sz w:val="21"/>
                <w:szCs w:val="21"/>
              </w:rPr>
              <w:t>12×0.5(宽×厚)</w:t>
            </w:r>
          </w:p>
        </w:tc>
        <w:tc>
          <w:tcPr>
            <w:tcW w:w="3399" w:type="dxa"/>
            <w:noWrap w:val="0"/>
            <w:vAlign w:val="center"/>
          </w:tcPr>
          <w:p w14:paraId="4B8C636F">
            <w:pPr>
              <w:jc w:val="center"/>
              <w:rPr>
                <w:rFonts w:hint="default" w:ascii="Arial" w:hAnsi="Arial" w:eastAsia="宋体" w:cs="Arial"/>
                <w:sz w:val="21"/>
                <w:szCs w:val="21"/>
              </w:rPr>
            </w:pPr>
            <w:r>
              <w:rPr>
                <w:rFonts w:hint="default" w:ascii="Arial" w:hAnsi="Arial" w:eastAsia="宋体" w:cs="Arial"/>
                <w:sz w:val="21"/>
                <w:szCs w:val="21"/>
              </w:rPr>
              <w:t>600&lt;DN≤1000 的设备和管道</w:t>
            </w:r>
          </w:p>
        </w:tc>
      </w:tr>
      <w:tr w14:paraId="18521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511" w:type="dxa"/>
            <w:vMerge w:val="continue"/>
            <w:tcBorders>
              <w:top w:val="nil"/>
            </w:tcBorders>
            <w:noWrap w:val="0"/>
            <w:vAlign w:val="center"/>
          </w:tcPr>
          <w:p w14:paraId="77306E60">
            <w:pPr>
              <w:jc w:val="center"/>
              <w:rPr>
                <w:rFonts w:hint="default" w:ascii="Arial" w:hAnsi="Arial" w:eastAsia="宋体" w:cs="Arial"/>
                <w:sz w:val="21"/>
                <w:szCs w:val="21"/>
              </w:rPr>
            </w:pPr>
          </w:p>
        </w:tc>
        <w:tc>
          <w:tcPr>
            <w:tcW w:w="1142" w:type="dxa"/>
            <w:vMerge w:val="continue"/>
            <w:tcBorders>
              <w:top w:val="nil"/>
            </w:tcBorders>
            <w:noWrap w:val="0"/>
            <w:vAlign w:val="center"/>
          </w:tcPr>
          <w:p w14:paraId="62032285">
            <w:pPr>
              <w:jc w:val="center"/>
              <w:rPr>
                <w:rFonts w:hint="default" w:ascii="Arial" w:hAnsi="Arial" w:eastAsia="宋体" w:cs="Arial"/>
                <w:sz w:val="21"/>
                <w:szCs w:val="21"/>
              </w:rPr>
            </w:pPr>
          </w:p>
        </w:tc>
        <w:tc>
          <w:tcPr>
            <w:tcW w:w="1414" w:type="dxa"/>
            <w:vMerge w:val="continue"/>
            <w:tcBorders>
              <w:top w:val="nil"/>
            </w:tcBorders>
            <w:noWrap w:val="0"/>
            <w:vAlign w:val="center"/>
          </w:tcPr>
          <w:p w14:paraId="57404325">
            <w:pPr>
              <w:jc w:val="center"/>
              <w:rPr>
                <w:rFonts w:hint="default" w:ascii="Arial" w:hAnsi="Arial" w:eastAsia="宋体" w:cs="Arial"/>
                <w:sz w:val="21"/>
                <w:szCs w:val="21"/>
              </w:rPr>
            </w:pPr>
          </w:p>
        </w:tc>
        <w:tc>
          <w:tcPr>
            <w:tcW w:w="1871" w:type="dxa"/>
            <w:noWrap w:val="0"/>
            <w:vAlign w:val="center"/>
          </w:tcPr>
          <w:p w14:paraId="70DA473E">
            <w:pPr>
              <w:jc w:val="center"/>
              <w:rPr>
                <w:rFonts w:hint="default" w:ascii="Arial" w:hAnsi="Arial" w:eastAsia="宋体" w:cs="Arial"/>
                <w:sz w:val="21"/>
                <w:szCs w:val="21"/>
              </w:rPr>
            </w:pPr>
            <w:r>
              <w:rPr>
                <w:rFonts w:hint="default" w:ascii="Arial" w:hAnsi="Arial" w:eastAsia="宋体" w:cs="Arial"/>
                <w:sz w:val="21"/>
                <w:szCs w:val="21"/>
              </w:rPr>
              <w:t>20×0.5(宽×厚)</w:t>
            </w:r>
          </w:p>
        </w:tc>
        <w:tc>
          <w:tcPr>
            <w:tcW w:w="3399" w:type="dxa"/>
            <w:noWrap w:val="0"/>
            <w:vAlign w:val="center"/>
          </w:tcPr>
          <w:p w14:paraId="1A6E2466">
            <w:pPr>
              <w:jc w:val="center"/>
              <w:rPr>
                <w:rFonts w:hint="default" w:ascii="Arial" w:hAnsi="Arial" w:eastAsia="宋体" w:cs="Arial"/>
                <w:sz w:val="21"/>
                <w:szCs w:val="21"/>
              </w:rPr>
            </w:pPr>
            <w:r>
              <w:rPr>
                <w:rFonts w:hint="default" w:ascii="Arial" w:hAnsi="Arial" w:eastAsia="宋体" w:cs="Arial"/>
                <w:sz w:val="21"/>
                <w:szCs w:val="21"/>
              </w:rPr>
              <w:t>DN&gt;1000 的设备</w:t>
            </w:r>
          </w:p>
        </w:tc>
      </w:tr>
    </w:tbl>
    <w:p w14:paraId="1A663E61">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bookmarkStart w:id="107" w:name="3.2.7防潮层材料"/>
      <w:bookmarkEnd w:id="107"/>
    </w:p>
    <w:p w14:paraId="7F403492">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108" w:name="_Toc9677"/>
      <w:r>
        <w:rPr>
          <w:rFonts w:hint="default" w:ascii="Arial" w:hAnsi="Arial" w:eastAsia="宋体" w:cs="Arial"/>
          <w:b/>
          <w:bCs/>
          <w:color w:val="auto"/>
          <w:sz w:val="24"/>
          <w:szCs w:val="24"/>
          <w:highlight w:val="none"/>
          <w:shd w:val="clear" w:color="auto" w:fill="auto"/>
          <w:lang w:val="en-US" w:eastAsia="zh-CN"/>
        </w:rPr>
        <w:t>3.2.7防潮层材料</w:t>
      </w:r>
      <w:bookmarkEnd w:id="108"/>
    </w:p>
    <w:p w14:paraId="682BA3A5">
      <w:pPr>
        <w:keepNext w:val="0"/>
        <w:keepLines w:val="0"/>
        <w:pageBreakBefore w:val="0"/>
        <w:widowControl/>
        <w:numPr>
          <w:ilvl w:val="0"/>
          <w:numId w:val="1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防潮层材料应具有抗蒸汽渗透、防水、防潮、无毒、耐腐蚀的性能，且化学性能稳定，不得对保温层和保护层产生腐蚀或溶解作用，吸水率不大于 1%。</w:t>
      </w:r>
    </w:p>
    <w:p w14:paraId="6E70B6EC">
      <w:pPr>
        <w:keepNext w:val="0"/>
        <w:keepLines w:val="0"/>
        <w:pageBreakBefore w:val="0"/>
        <w:widowControl/>
        <w:numPr>
          <w:ilvl w:val="0"/>
          <w:numId w:val="13"/>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防潮层应选择夏季不软化、不流淌、不起泡，低温时不脆裂、不脱落的材料。用于涂抹型防潮层的材料，其软化温度不应低于 65℃，20℃ 粘结强度不应小于 0.15 MPa，挥发物不得大于 30%。振动情况下，防潮层应能保持其结构的完整性和密封性。</w:t>
      </w:r>
    </w:p>
    <w:p w14:paraId="77941929">
      <w:pPr>
        <w:spacing w:before="135"/>
        <w:ind w:left="3212" w:right="0" w:firstLine="0"/>
        <w:jc w:val="left"/>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3.2.7-1：防潮层材料的选用</w:t>
      </w:r>
    </w:p>
    <w:tbl>
      <w:tblPr>
        <w:tblStyle w:val="11"/>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540"/>
        <w:gridCol w:w="2124"/>
        <w:gridCol w:w="2799"/>
      </w:tblGrid>
      <w:tr w14:paraId="22DF0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540" w:type="dxa"/>
            <w:noWrap w:val="0"/>
            <w:vAlign w:val="center"/>
          </w:tcPr>
          <w:p w14:paraId="795E99E2">
            <w:pPr>
              <w:jc w:val="center"/>
              <w:rPr>
                <w:rFonts w:hint="default"/>
                <w:sz w:val="21"/>
                <w:szCs w:val="21"/>
              </w:rPr>
            </w:pPr>
            <w:r>
              <w:rPr>
                <w:rFonts w:hint="default"/>
                <w:sz w:val="21"/>
                <w:szCs w:val="21"/>
              </w:rPr>
              <w:t>材料</w:t>
            </w:r>
          </w:p>
        </w:tc>
        <w:tc>
          <w:tcPr>
            <w:tcW w:w="2124" w:type="dxa"/>
            <w:noWrap w:val="0"/>
            <w:vAlign w:val="center"/>
          </w:tcPr>
          <w:p w14:paraId="5FEDCF82">
            <w:pPr>
              <w:jc w:val="center"/>
              <w:rPr>
                <w:rFonts w:hint="default"/>
                <w:sz w:val="21"/>
                <w:szCs w:val="21"/>
              </w:rPr>
            </w:pPr>
            <w:r>
              <w:rPr>
                <w:rFonts w:hint="default"/>
                <w:sz w:val="21"/>
                <w:szCs w:val="21"/>
              </w:rPr>
              <w:t>厚度(mm)</w:t>
            </w:r>
          </w:p>
        </w:tc>
        <w:tc>
          <w:tcPr>
            <w:tcW w:w="2799" w:type="dxa"/>
            <w:noWrap w:val="0"/>
            <w:vAlign w:val="center"/>
          </w:tcPr>
          <w:p w14:paraId="2EE3D1FF">
            <w:pPr>
              <w:jc w:val="center"/>
              <w:rPr>
                <w:rFonts w:hint="default"/>
                <w:sz w:val="21"/>
                <w:szCs w:val="21"/>
                <w:lang w:eastAsia="zh-CN"/>
              </w:rPr>
            </w:pPr>
            <w:r>
              <w:rPr>
                <w:rFonts w:hint="default"/>
                <w:sz w:val="21"/>
                <w:szCs w:val="21"/>
              </w:rPr>
              <w:t>用</w:t>
            </w:r>
            <w:r>
              <w:rPr>
                <w:rFonts w:hint="default"/>
                <w:sz w:val="21"/>
                <w:szCs w:val="21"/>
                <w:lang w:eastAsia="zh-CN"/>
              </w:rPr>
              <w:t>途</w:t>
            </w:r>
          </w:p>
        </w:tc>
      </w:tr>
      <w:tr w14:paraId="1BFE7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540" w:type="dxa"/>
            <w:noWrap w:val="0"/>
            <w:vAlign w:val="center"/>
          </w:tcPr>
          <w:p w14:paraId="5460825F">
            <w:pPr>
              <w:jc w:val="center"/>
              <w:rPr>
                <w:rFonts w:hint="default"/>
                <w:sz w:val="21"/>
                <w:szCs w:val="21"/>
              </w:rPr>
            </w:pPr>
            <w:r>
              <w:rPr>
                <w:rFonts w:hint="default"/>
                <w:sz w:val="21"/>
                <w:szCs w:val="21"/>
              </w:rPr>
              <w:t>沥青玛蹄脂玻璃布防潮层</w:t>
            </w:r>
          </w:p>
        </w:tc>
        <w:tc>
          <w:tcPr>
            <w:tcW w:w="2124" w:type="dxa"/>
            <w:noWrap w:val="0"/>
            <w:vAlign w:val="center"/>
          </w:tcPr>
          <w:p w14:paraId="08F52410">
            <w:pPr>
              <w:jc w:val="center"/>
              <w:rPr>
                <w:rFonts w:hint="default"/>
                <w:sz w:val="21"/>
                <w:szCs w:val="21"/>
              </w:rPr>
            </w:pPr>
            <w:r>
              <w:rPr>
                <w:rFonts w:hint="default"/>
                <w:sz w:val="21"/>
                <w:szCs w:val="21"/>
              </w:rPr>
              <w:t>3</w:t>
            </w:r>
          </w:p>
        </w:tc>
        <w:tc>
          <w:tcPr>
            <w:tcW w:w="2799" w:type="dxa"/>
            <w:noWrap w:val="0"/>
            <w:vAlign w:val="center"/>
          </w:tcPr>
          <w:p w14:paraId="27F7F16E">
            <w:pPr>
              <w:jc w:val="center"/>
              <w:rPr>
                <w:rFonts w:hint="default"/>
                <w:sz w:val="21"/>
                <w:szCs w:val="21"/>
              </w:rPr>
            </w:pPr>
            <w:r>
              <w:rPr>
                <w:rFonts w:hint="default"/>
                <w:sz w:val="21"/>
                <w:szCs w:val="21"/>
              </w:rPr>
              <w:t>用于保温层外</w:t>
            </w:r>
          </w:p>
        </w:tc>
      </w:tr>
      <w:tr w14:paraId="4E5660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540" w:type="dxa"/>
            <w:noWrap w:val="0"/>
            <w:vAlign w:val="center"/>
          </w:tcPr>
          <w:p w14:paraId="52D18097">
            <w:pPr>
              <w:jc w:val="center"/>
              <w:rPr>
                <w:rFonts w:hint="default"/>
                <w:sz w:val="21"/>
                <w:szCs w:val="21"/>
              </w:rPr>
            </w:pPr>
            <w:r>
              <w:rPr>
                <w:rFonts w:hint="default"/>
                <w:sz w:val="21"/>
                <w:szCs w:val="21"/>
              </w:rPr>
              <w:t>第二层：中碱粗格平纹玻璃布</w:t>
            </w:r>
          </w:p>
        </w:tc>
        <w:tc>
          <w:tcPr>
            <w:tcW w:w="2124" w:type="dxa"/>
            <w:noWrap w:val="0"/>
            <w:vAlign w:val="center"/>
          </w:tcPr>
          <w:p w14:paraId="516D99F4">
            <w:pPr>
              <w:jc w:val="center"/>
              <w:rPr>
                <w:rFonts w:hint="default"/>
                <w:sz w:val="21"/>
                <w:szCs w:val="21"/>
              </w:rPr>
            </w:pPr>
            <w:r>
              <w:rPr>
                <w:rFonts w:hint="default"/>
                <w:sz w:val="21"/>
                <w:szCs w:val="21"/>
              </w:rPr>
              <w:t>0.1～0.2</w:t>
            </w:r>
          </w:p>
        </w:tc>
        <w:tc>
          <w:tcPr>
            <w:tcW w:w="2799" w:type="dxa"/>
            <w:noWrap w:val="0"/>
            <w:vAlign w:val="center"/>
          </w:tcPr>
          <w:p w14:paraId="5974F0A0">
            <w:pPr>
              <w:jc w:val="center"/>
              <w:rPr>
                <w:rFonts w:hint="default"/>
                <w:sz w:val="21"/>
                <w:szCs w:val="21"/>
              </w:rPr>
            </w:pPr>
            <w:r>
              <w:rPr>
                <w:rFonts w:hint="default"/>
                <w:sz w:val="21"/>
                <w:szCs w:val="21"/>
              </w:rPr>
              <w:t>用于加强石油沥青玛蹄脂</w:t>
            </w:r>
          </w:p>
        </w:tc>
      </w:tr>
      <w:tr w14:paraId="430FF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540" w:type="dxa"/>
            <w:noWrap w:val="0"/>
            <w:vAlign w:val="center"/>
          </w:tcPr>
          <w:p w14:paraId="77D19DB9">
            <w:pPr>
              <w:jc w:val="center"/>
              <w:rPr>
                <w:rFonts w:hint="default"/>
                <w:sz w:val="21"/>
                <w:szCs w:val="21"/>
              </w:rPr>
            </w:pPr>
            <w:r>
              <w:rPr>
                <w:rFonts w:hint="default"/>
                <w:sz w:val="21"/>
                <w:szCs w:val="21"/>
              </w:rPr>
              <w:t>第三层：阻燃型石油沥青玛蹄脂</w:t>
            </w:r>
          </w:p>
        </w:tc>
        <w:tc>
          <w:tcPr>
            <w:tcW w:w="2124" w:type="dxa"/>
            <w:noWrap w:val="0"/>
            <w:vAlign w:val="center"/>
          </w:tcPr>
          <w:p w14:paraId="1F1DA868">
            <w:pPr>
              <w:jc w:val="center"/>
              <w:rPr>
                <w:rFonts w:hint="default"/>
                <w:sz w:val="21"/>
                <w:szCs w:val="21"/>
              </w:rPr>
            </w:pPr>
            <w:r>
              <w:rPr>
                <w:rFonts w:hint="default"/>
                <w:sz w:val="21"/>
                <w:szCs w:val="21"/>
              </w:rPr>
              <w:t>3</w:t>
            </w:r>
          </w:p>
        </w:tc>
        <w:tc>
          <w:tcPr>
            <w:tcW w:w="2799" w:type="dxa"/>
            <w:noWrap w:val="0"/>
            <w:vAlign w:val="center"/>
          </w:tcPr>
          <w:p w14:paraId="457B7235">
            <w:pPr>
              <w:jc w:val="center"/>
              <w:rPr>
                <w:rFonts w:hint="default"/>
                <w:sz w:val="21"/>
                <w:szCs w:val="21"/>
              </w:rPr>
            </w:pPr>
            <w:r>
              <w:rPr>
                <w:rFonts w:hint="default"/>
                <w:sz w:val="21"/>
                <w:szCs w:val="21"/>
              </w:rPr>
              <w:t>用于有碱粗格玉纹玻璃布外</w:t>
            </w:r>
          </w:p>
        </w:tc>
      </w:tr>
    </w:tbl>
    <w:p w14:paraId="4F8DBBD7">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p>
    <w:p w14:paraId="720AD688">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109" w:name="3.2.8其他材料"/>
      <w:bookmarkEnd w:id="109"/>
      <w:bookmarkStart w:id="110" w:name="_Toc9815"/>
      <w:r>
        <w:rPr>
          <w:rFonts w:hint="default" w:ascii="Arial" w:hAnsi="Arial" w:eastAsia="宋体" w:cs="Arial"/>
          <w:b/>
          <w:bCs/>
          <w:color w:val="auto"/>
          <w:sz w:val="24"/>
          <w:szCs w:val="24"/>
          <w:highlight w:val="none"/>
          <w:shd w:val="clear" w:color="auto" w:fill="auto"/>
          <w:lang w:val="en-US" w:eastAsia="zh-CN"/>
        </w:rPr>
        <w:t>3.2.8其他材料</w:t>
      </w:r>
      <w:bookmarkEnd w:id="110"/>
    </w:p>
    <w:p w14:paraId="2D773C50">
      <w:pPr>
        <w:keepNext w:val="0"/>
        <w:keepLines w:val="0"/>
        <w:pageBreakBefore w:val="0"/>
        <w:widowControl/>
        <w:numPr>
          <w:ilvl w:val="0"/>
          <w:numId w:val="1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硬质保温材料的粘结剂、密封剂，应固化时间短、密封性能好，在设计年限内不开裂，且与主材性能相似,粘结剂施工时环境温度应不小于 0℃。</w:t>
      </w:r>
    </w:p>
    <w:p w14:paraId="01328BD6">
      <w:pPr>
        <w:keepNext w:val="0"/>
        <w:keepLines w:val="0"/>
        <w:pageBreakBefore w:val="0"/>
        <w:widowControl/>
        <w:numPr>
          <w:ilvl w:val="0"/>
          <w:numId w:val="1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保冷用的粘结剂在使用温度范围内应保持一定的粘结性能，在常温时粘结强度应大于 0.15 MPa。</w:t>
      </w:r>
    </w:p>
    <w:p w14:paraId="7E9B3F70">
      <w:pPr>
        <w:keepNext w:val="0"/>
        <w:keepLines w:val="0"/>
        <w:pageBreakBefore w:val="0"/>
        <w:widowControl/>
        <w:numPr>
          <w:ilvl w:val="0"/>
          <w:numId w:val="1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硬质保冷材料的粘结剂、密封剂，应固化时间短、密封性能好，在设计年限内不开裂，且与主材性能相似。</w:t>
      </w:r>
    </w:p>
    <w:p w14:paraId="7DFD50CA">
      <w:pPr>
        <w:keepNext w:val="0"/>
        <w:keepLines w:val="0"/>
        <w:pageBreakBefore w:val="0"/>
        <w:widowControl/>
        <w:numPr>
          <w:ilvl w:val="0"/>
          <w:numId w:val="14"/>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绝热结构用辅助材料可按表 3.2.8-1 选用。</w:t>
      </w:r>
    </w:p>
    <w:p w14:paraId="7DA54DE3">
      <w:pPr>
        <w:spacing w:before="67" w:after="2"/>
        <w:ind w:left="1806" w:right="1918" w:firstLine="0"/>
        <w:jc w:val="center"/>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3.2.8-1：辅助材料的选用</w:t>
      </w:r>
    </w:p>
    <w:tbl>
      <w:tblPr>
        <w:tblStyle w:val="11"/>
        <w:tblW w:w="0" w:type="auto"/>
        <w:tblInd w:w="6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5"/>
        <w:gridCol w:w="1771"/>
        <w:gridCol w:w="1454"/>
        <w:gridCol w:w="1609"/>
        <w:gridCol w:w="2558"/>
      </w:tblGrid>
      <w:tr w14:paraId="5A6B49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945" w:type="dxa"/>
            <w:noWrap w:val="0"/>
            <w:vAlign w:val="center"/>
          </w:tcPr>
          <w:p w14:paraId="1021904E">
            <w:pPr>
              <w:jc w:val="center"/>
              <w:rPr>
                <w:rFonts w:hint="default" w:ascii="Arial" w:hAnsi="Arial" w:eastAsia="宋体" w:cs="Arial"/>
                <w:sz w:val="21"/>
                <w:szCs w:val="21"/>
              </w:rPr>
            </w:pPr>
            <w:r>
              <w:rPr>
                <w:rFonts w:hint="default" w:ascii="Arial" w:hAnsi="Arial" w:eastAsia="宋体" w:cs="Arial"/>
                <w:sz w:val="21"/>
                <w:szCs w:val="21"/>
              </w:rPr>
              <w:t>序号</w:t>
            </w:r>
          </w:p>
        </w:tc>
        <w:tc>
          <w:tcPr>
            <w:tcW w:w="1771" w:type="dxa"/>
            <w:noWrap w:val="0"/>
            <w:vAlign w:val="center"/>
          </w:tcPr>
          <w:p w14:paraId="7B11F4CC">
            <w:pPr>
              <w:jc w:val="center"/>
              <w:rPr>
                <w:rFonts w:hint="default" w:ascii="Arial" w:hAnsi="Arial" w:eastAsia="宋体" w:cs="Arial"/>
                <w:sz w:val="21"/>
                <w:szCs w:val="21"/>
              </w:rPr>
            </w:pPr>
            <w:r>
              <w:rPr>
                <w:rFonts w:hint="default" w:ascii="Arial" w:hAnsi="Arial" w:eastAsia="宋体" w:cs="Arial"/>
                <w:sz w:val="21"/>
                <w:szCs w:val="21"/>
              </w:rPr>
              <w:t>材料</w:t>
            </w:r>
          </w:p>
        </w:tc>
        <w:tc>
          <w:tcPr>
            <w:tcW w:w="1454" w:type="dxa"/>
            <w:noWrap w:val="0"/>
            <w:vAlign w:val="center"/>
          </w:tcPr>
          <w:p w14:paraId="78B6764A">
            <w:pPr>
              <w:jc w:val="center"/>
              <w:rPr>
                <w:rFonts w:hint="default" w:ascii="Arial" w:hAnsi="Arial" w:eastAsia="宋体" w:cs="Arial"/>
                <w:sz w:val="21"/>
                <w:szCs w:val="21"/>
              </w:rPr>
            </w:pPr>
            <w:r>
              <w:rPr>
                <w:rFonts w:hint="default" w:ascii="Arial" w:hAnsi="Arial" w:eastAsia="宋体" w:cs="Arial"/>
                <w:sz w:val="21"/>
                <w:szCs w:val="21"/>
              </w:rPr>
              <w:t>标准</w:t>
            </w:r>
          </w:p>
        </w:tc>
        <w:tc>
          <w:tcPr>
            <w:tcW w:w="1609" w:type="dxa"/>
            <w:noWrap w:val="0"/>
            <w:vAlign w:val="center"/>
          </w:tcPr>
          <w:p w14:paraId="4A85D99A">
            <w:pPr>
              <w:jc w:val="center"/>
              <w:rPr>
                <w:rFonts w:hint="default" w:ascii="Arial" w:hAnsi="Arial" w:eastAsia="宋体" w:cs="Arial"/>
                <w:sz w:val="21"/>
                <w:szCs w:val="21"/>
              </w:rPr>
            </w:pPr>
            <w:r>
              <w:rPr>
                <w:rFonts w:hint="default" w:ascii="Arial" w:hAnsi="Arial" w:eastAsia="宋体" w:cs="Arial"/>
                <w:sz w:val="21"/>
                <w:szCs w:val="21"/>
              </w:rPr>
              <w:t>规格(mm)</w:t>
            </w:r>
          </w:p>
        </w:tc>
        <w:tc>
          <w:tcPr>
            <w:tcW w:w="2558" w:type="dxa"/>
            <w:noWrap w:val="0"/>
            <w:vAlign w:val="center"/>
          </w:tcPr>
          <w:p w14:paraId="2621A25E">
            <w:pPr>
              <w:jc w:val="center"/>
              <w:rPr>
                <w:rFonts w:hint="default" w:ascii="Arial" w:hAnsi="Arial" w:eastAsia="宋体" w:cs="Arial"/>
                <w:sz w:val="21"/>
                <w:szCs w:val="21"/>
              </w:rPr>
            </w:pPr>
            <w:r>
              <w:rPr>
                <w:rFonts w:hint="default" w:ascii="Arial" w:hAnsi="Arial" w:eastAsia="宋体" w:cs="Arial"/>
                <w:sz w:val="21"/>
                <w:szCs w:val="21"/>
              </w:rPr>
              <w:t>应用</w:t>
            </w:r>
          </w:p>
        </w:tc>
      </w:tr>
      <w:tr w14:paraId="7DE99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945" w:type="dxa"/>
            <w:noWrap w:val="0"/>
            <w:vAlign w:val="center"/>
          </w:tcPr>
          <w:p w14:paraId="6DB74DA7">
            <w:pPr>
              <w:jc w:val="center"/>
              <w:rPr>
                <w:rFonts w:hint="default" w:ascii="Arial" w:hAnsi="Arial" w:eastAsia="宋体" w:cs="Arial"/>
                <w:sz w:val="21"/>
                <w:szCs w:val="21"/>
              </w:rPr>
            </w:pPr>
            <w:r>
              <w:rPr>
                <w:rFonts w:hint="default" w:ascii="Arial" w:hAnsi="Arial" w:eastAsia="宋体" w:cs="Arial"/>
                <w:sz w:val="21"/>
                <w:szCs w:val="21"/>
              </w:rPr>
              <w:t>l</w:t>
            </w:r>
          </w:p>
        </w:tc>
        <w:tc>
          <w:tcPr>
            <w:tcW w:w="1771" w:type="dxa"/>
            <w:noWrap w:val="0"/>
            <w:vAlign w:val="center"/>
          </w:tcPr>
          <w:p w14:paraId="6B97840C">
            <w:pPr>
              <w:jc w:val="center"/>
              <w:rPr>
                <w:rFonts w:hint="default" w:ascii="Arial" w:hAnsi="Arial" w:eastAsia="宋体" w:cs="Arial"/>
                <w:sz w:val="21"/>
                <w:szCs w:val="21"/>
              </w:rPr>
            </w:pPr>
            <w:r>
              <w:rPr>
                <w:rFonts w:hint="default" w:ascii="Arial" w:hAnsi="Arial" w:eastAsia="宋体" w:cs="Arial"/>
                <w:sz w:val="21"/>
                <w:szCs w:val="21"/>
              </w:rPr>
              <w:t>圆钢</w:t>
            </w:r>
          </w:p>
        </w:tc>
        <w:tc>
          <w:tcPr>
            <w:tcW w:w="1454" w:type="dxa"/>
            <w:noWrap w:val="0"/>
            <w:vAlign w:val="center"/>
          </w:tcPr>
          <w:p w14:paraId="764C614C">
            <w:pPr>
              <w:jc w:val="center"/>
              <w:rPr>
                <w:rFonts w:hint="default" w:ascii="Arial" w:hAnsi="Arial" w:eastAsia="宋体" w:cs="Arial"/>
                <w:sz w:val="21"/>
                <w:szCs w:val="21"/>
              </w:rPr>
            </w:pPr>
            <w:r>
              <w:rPr>
                <w:rFonts w:hint="default" w:ascii="Arial" w:hAnsi="Arial" w:eastAsia="宋体" w:cs="Arial"/>
                <w:sz w:val="21"/>
                <w:szCs w:val="21"/>
              </w:rPr>
              <w:t>GB/T 702</w:t>
            </w:r>
          </w:p>
        </w:tc>
        <w:tc>
          <w:tcPr>
            <w:tcW w:w="1609" w:type="dxa"/>
            <w:noWrap w:val="0"/>
            <w:vAlign w:val="center"/>
          </w:tcPr>
          <w:p w14:paraId="3089B3E4">
            <w:pPr>
              <w:jc w:val="center"/>
              <w:rPr>
                <w:rFonts w:hint="default" w:ascii="Arial" w:hAnsi="Arial" w:eastAsia="宋体" w:cs="Arial"/>
                <w:sz w:val="21"/>
                <w:szCs w:val="21"/>
              </w:rPr>
            </w:pPr>
            <w:r>
              <w:rPr>
                <w:rFonts w:hint="default" w:ascii="Arial" w:hAnsi="Arial" w:eastAsia="宋体" w:cs="Arial"/>
                <w:sz w:val="21"/>
                <w:szCs w:val="21"/>
              </w:rPr>
              <w:t>6</w:t>
            </w:r>
          </w:p>
        </w:tc>
        <w:tc>
          <w:tcPr>
            <w:tcW w:w="2558" w:type="dxa"/>
            <w:noWrap w:val="0"/>
            <w:vAlign w:val="center"/>
          </w:tcPr>
          <w:p w14:paraId="51C1C890">
            <w:pPr>
              <w:jc w:val="center"/>
              <w:rPr>
                <w:rFonts w:hint="default" w:ascii="Arial" w:hAnsi="Arial" w:eastAsia="宋体" w:cs="Arial"/>
                <w:sz w:val="21"/>
                <w:szCs w:val="21"/>
              </w:rPr>
            </w:pPr>
            <w:r>
              <w:rPr>
                <w:rFonts w:hint="default" w:ascii="Arial" w:hAnsi="Arial" w:eastAsia="宋体" w:cs="Arial"/>
                <w:sz w:val="21"/>
                <w:szCs w:val="21"/>
              </w:rPr>
              <w:t>用于设备</w:t>
            </w:r>
          </w:p>
        </w:tc>
      </w:tr>
      <w:tr w14:paraId="699A2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945" w:type="dxa"/>
            <w:noWrap w:val="0"/>
            <w:vAlign w:val="center"/>
          </w:tcPr>
          <w:p w14:paraId="6C2C8FB8">
            <w:pPr>
              <w:jc w:val="center"/>
              <w:rPr>
                <w:rFonts w:hint="default" w:ascii="Arial" w:hAnsi="Arial" w:eastAsia="宋体" w:cs="Arial"/>
                <w:sz w:val="21"/>
                <w:szCs w:val="21"/>
              </w:rPr>
            </w:pPr>
            <w:r>
              <w:rPr>
                <w:rFonts w:hint="default" w:ascii="Arial" w:hAnsi="Arial" w:eastAsia="宋体" w:cs="Arial"/>
                <w:sz w:val="21"/>
                <w:szCs w:val="21"/>
              </w:rPr>
              <w:t>2</w:t>
            </w:r>
          </w:p>
        </w:tc>
        <w:tc>
          <w:tcPr>
            <w:tcW w:w="1771" w:type="dxa"/>
            <w:noWrap w:val="0"/>
            <w:vAlign w:val="center"/>
          </w:tcPr>
          <w:p w14:paraId="1C16A636">
            <w:pPr>
              <w:jc w:val="center"/>
              <w:rPr>
                <w:rFonts w:hint="default" w:ascii="Arial" w:hAnsi="Arial" w:eastAsia="宋体" w:cs="Arial"/>
                <w:sz w:val="21"/>
                <w:szCs w:val="21"/>
              </w:rPr>
            </w:pPr>
            <w:r>
              <w:rPr>
                <w:rFonts w:hint="default" w:ascii="Arial" w:hAnsi="Arial" w:eastAsia="宋体" w:cs="Arial"/>
                <w:sz w:val="21"/>
                <w:szCs w:val="21"/>
              </w:rPr>
              <w:t>角钢</w:t>
            </w:r>
          </w:p>
        </w:tc>
        <w:tc>
          <w:tcPr>
            <w:tcW w:w="1454" w:type="dxa"/>
            <w:noWrap w:val="0"/>
            <w:vAlign w:val="center"/>
          </w:tcPr>
          <w:p w14:paraId="4D089257">
            <w:pPr>
              <w:jc w:val="center"/>
              <w:rPr>
                <w:rFonts w:hint="default" w:ascii="Arial" w:hAnsi="Arial" w:eastAsia="宋体" w:cs="Arial"/>
                <w:sz w:val="21"/>
                <w:szCs w:val="21"/>
              </w:rPr>
            </w:pPr>
            <w:r>
              <w:rPr>
                <w:rFonts w:hint="default" w:ascii="Arial" w:hAnsi="Arial" w:eastAsia="宋体" w:cs="Arial"/>
                <w:sz w:val="21"/>
                <w:szCs w:val="21"/>
              </w:rPr>
              <w:t>GB/T 706</w:t>
            </w:r>
          </w:p>
        </w:tc>
        <w:tc>
          <w:tcPr>
            <w:tcW w:w="1609" w:type="dxa"/>
            <w:noWrap w:val="0"/>
            <w:vAlign w:val="center"/>
          </w:tcPr>
          <w:p w14:paraId="6F569C0E">
            <w:pPr>
              <w:jc w:val="center"/>
              <w:rPr>
                <w:rFonts w:hint="default" w:ascii="Arial" w:hAnsi="Arial" w:eastAsia="宋体" w:cs="Arial"/>
                <w:sz w:val="21"/>
                <w:szCs w:val="21"/>
              </w:rPr>
            </w:pPr>
            <w:r>
              <w:rPr>
                <w:rFonts w:hint="default" w:ascii="Arial" w:hAnsi="Arial" w:eastAsia="宋体" w:cs="Arial"/>
                <w:sz w:val="21"/>
                <w:szCs w:val="21"/>
              </w:rPr>
              <w:t>30×30×4</w:t>
            </w:r>
          </w:p>
        </w:tc>
        <w:tc>
          <w:tcPr>
            <w:tcW w:w="2558" w:type="dxa"/>
            <w:noWrap w:val="0"/>
            <w:vAlign w:val="center"/>
          </w:tcPr>
          <w:p w14:paraId="6C7CBF6F">
            <w:pPr>
              <w:jc w:val="center"/>
              <w:rPr>
                <w:rFonts w:hint="default" w:ascii="Arial" w:hAnsi="Arial" w:eastAsia="宋体" w:cs="Arial"/>
                <w:sz w:val="21"/>
                <w:szCs w:val="21"/>
              </w:rPr>
            </w:pPr>
            <w:r>
              <w:rPr>
                <w:rFonts w:hint="default" w:ascii="Arial" w:hAnsi="Arial" w:eastAsia="宋体" w:cs="Arial"/>
                <w:sz w:val="21"/>
                <w:szCs w:val="21"/>
              </w:rPr>
              <w:t>用于设备</w:t>
            </w:r>
          </w:p>
        </w:tc>
      </w:tr>
      <w:tr w14:paraId="5E2092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945" w:type="dxa"/>
            <w:noWrap w:val="0"/>
            <w:vAlign w:val="center"/>
          </w:tcPr>
          <w:p w14:paraId="552CB900">
            <w:pPr>
              <w:jc w:val="center"/>
              <w:rPr>
                <w:rFonts w:hint="default" w:ascii="Arial" w:hAnsi="Arial" w:eastAsia="宋体" w:cs="Arial"/>
                <w:sz w:val="21"/>
                <w:szCs w:val="21"/>
              </w:rPr>
            </w:pPr>
            <w:r>
              <w:rPr>
                <w:rFonts w:hint="default" w:ascii="Arial" w:hAnsi="Arial" w:eastAsia="宋体" w:cs="Arial"/>
                <w:sz w:val="21"/>
                <w:szCs w:val="21"/>
              </w:rPr>
              <w:t>3</w:t>
            </w:r>
          </w:p>
        </w:tc>
        <w:tc>
          <w:tcPr>
            <w:tcW w:w="1771" w:type="dxa"/>
            <w:noWrap w:val="0"/>
            <w:vAlign w:val="center"/>
          </w:tcPr>
          <w:p w14:paraId="7040826E">
            <w:pPr>
              <w:jc w:val="center"/>
              <w:rPr>
                <w:rFonts w:hint="default" w:ascii="Arial" w:hAnsi="Arial" w:eastAsia="宋体" w:cs="Arial"/>
                <w:sz w:val="21"/>
                <w:szCs w:val="21"/>
              </w:rPr>
            </w:pPr>
            <w:r>
              <w:rPr>
                <w:rFonts w:hint="default" w:ascii="Arial" w:hAnsi="Arial" w:eastAsia="宋体" w:cs="Arial"/>
                <w:sz w:val="21"/>
                <w:szCs w:val="21"/>
              </w:rPr>
              <w:t>自攻螺钉</w:t>
            </w:r>
          </w:p>
        </w:tc>
        <w:tc>
          <w:tcPr>
            <w:tcW w:w="1454" w:type="dxa"/>
            <w:noWrap w:val="0"/>
            <w:vAlign w:val="center"/>
          </w:tcPr>
          <w:p w14:paraId="253114B2">
            <w:pPr>
              <w:jc w:val="center"/>
              <w:rPr>
                <w:rFonts w:hint="default" w:ascii="Arial" w:hAnsi="Arial" w:eastAsia="宋体" w:cs="Arial"/>
                <w:sz w:val="21"/>
                <w:szCs w:val="21"/>
              </w:rPr>
            </w:pPr>
          </w:p>
        </w:tc>
        <w:tc>
          <w:tcPr>
            <w:tcW w:w="1609" w:type="dxa"/>
            <w:noWrap w:val="0"/>
            <w:vAlign w:val="center"/>
          </w:tcPr>
          <w:p w14:paraId="14B05171">
            <w:pPr>
              <w:jc w:val="center"/>
              <w:rPr>
                <w:rFonts w:hint="default" w:ascii="Arial" w:hAnsi="Arial" w:eastAsia="宋体" w:cs="Arial"/>
                <w:sz w:val="21"/>
                <w:szCs w:val="21"/>
              </w:rPr>
            </w:pPr>
            <w:r>
              <w:rPr>
                <w:rFonts w:hint="default" w:ascii="Arial" w:hAnsi="Arial" w:eastAsia="宋体" w:cs="Arial"/>
                <w:sz w:val="21"/>
                <w:szCs w:val="21"/>
              </w:rPr>
              <w:t>M 4×15</w:t>
            </w:r>
          </w:p>
        </w:tc>
        <w:tc>
          <w:tcPr>
            <w:tcW w:w="2558" w:type="dxa"/>
            <w:noWrap w:val="0"/>
            <w:vAlign w:val="center"/>
          </w:tcPr>
          <w:p w14:paraId="7AABE3B2">
            <w:pPr>
              <w:jc w:val="center"/>
              <w:rPr>
                <w:rFonts w:hint="default" w:ascii="Arial" w:hAnsi="Arial" w:eastAsia="宋体" w:cs="Arial"/>
                <w:sz w:val="21"/>
                <w:szCs w:val="21"/>
              </w:rPr>
            </w:pPr>
            <w:r>
              <w:rPr>
                <w:rFonts w:hint="default" w:ascii="Arial" w:hAnsi="Arial" w:eastAsia="宋体" w:cs="Arial"/>
                <w:sz w:val="21"/>
                <w:szCs w:val="21"/>
              </w:rPr>
              <w:t>用于设备和管道</w:t>
            </w:r>
          </w:p>
        </w:tc>
      </w:tr>
      <w:tr w14:paraId="1E640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945" w:type="dxa"/>
            <w:noWrap w:val="0"/>
            <w:vAlign w:val="center"/>
          </w:tcPr>
          <w:p w14:paraId="03C88031">
            <w:pPr>
              <w:jc w:val="center"/>
              <w:rPr>
                <w:rFonts w:hint="default" w:ascii="Arial" w:hAnsi="Arial" w:eastAsia="宋体" w:cs="Arial"/>
                <w:sz w:val="21"/>
                <w:szCs w:val="21"/>
              </w:rPr>
            </w:pPr>
            <w:r>
              <w:rPr>
                <w:rFonts w:hint="default" w:ascii="Arial" w:hAnsi="Arial" w:eastAsia="宋体" w:cs="Arial"/>
                <w:sz w:val="21"/>
                <w:szCs w:val="21"/>
              </w:rPr>
              <w:t>4</w:t>
            </w:r>
          </w:p>
        </w:tc>
        <w:tc>
          <w:tcPr>
            <w:tcW w:w="1771" w:type="dxa"/>
            <w:noWrap w:val="0"/>
            <w:vAlign w:val="center"/>
          </w:tcPr>
          <w:p w14:paraId="066E9D61">
            <w:pPr>
              <w:jc w:val="center"/>
              <w:rPr>
                <w:rFonts w:hint="default" w:ascii="Arial" w:hAnsi="Arial" w:eastAsia="宋体" w:cs="Arial"/>
                <w:sz w:val="21"/>
                <w:szCs w:val="21"/>
              </w:rPr>
            </w:pPr>
            <w:r>
              <w:rPr>
                <w:rFonts w:hint="default" w:ascii="Arial" w:hAnsi="Arial" w:eastAsia="宋体" w:cs="Arial"/>
                <w:sz w:val="21"/>
                <w:szCs w:val="21"/>
              </w:rPr>
              <w:t>支承环</w:t>
            </w:r>
          </w:p>
        </w:tc>
        <w:tc>
          <w:tcPr>
            <w:tcW w:w="1454" w:type="dxa"/>
            <w:noWrap w:val="0"/>
            <w:vAlign w:val="center"/>
          </w:tcPr>
          <w:p w14:paraId="44E4FDD6">
            <w:pPr>
              <w:jc w:val="center"/>
              <w:rPr>
                <w:rFonts w:hint="default" w:ascii="Arial" w:hAnsi="Arial" w:eastAsia="宋体" w:cs="Arial"/>
                <w:sz w:val="21"/>
                <w:szCs w:val="21"/>
              </w:rPr>
            </w:pPr>
            <w:r>
              <w:rPr>
                <w:rFonts w:hint="default" w:ascii="Arial" w:hAnsi="Arial" w:eastAsia="宋体" w:cs="Arial"/>
                <w:sz w:val="21"/>
                <w:szCs w:val="21"/>
              </w:rPr>
              <w:t>GB/T 710</w:t>
            </w:r>
          </w:p>
        </w:tc>
        <w:tc>
          <w:tcPr>
            <w:tcW w:w="1609" w:type="dxa"/>
            <w:noWrap w:val="0"/>
            <w:vAlign w:val="center"/>
          </w:tcPr>
          <w:p w14:paraId="4918550B">
            <w:pPr>
              <w:jc w:val="center"/>
              <w:rPr>
                <w:rFonts w:hint="default" w:ascii="Arial" w:hAnsi="Arial" w:eastAsia="宋体" w:cs="Arial"/>
                <w:sz w:val="21"/>
                <w:szCs w:val="21"/>
              </w:rPr>
            </w:pPr>
            <w:r>
              <w:rPr>
                <w:rFonts w:hint="default" w:ascii="Arial" w:hAnsi="Arial" w:eastAsia="宋体" w:cs="Arial"/>
                <w:sz w:val="21"/>
                <w:szCs w:val="21"/>
              </w:rPr>
              <w:t>厚 4</w:t>
            </w:r>
          </w:p>
        </w:tc>
        <w:tc>
          <w:tcPr>
            <w:tcW w:w="2558" w:type="dxa"/>
            <w:noWrap w:val="0"/>
            <w:vAlign w:val="center"/>
          </w:tcPr>
          <w:p w14:paraId="1A39EF64">
            <w:pPr>
              <w:jc w:val="center"/>
              <w:rPr>
                <w:rFonts w:hint="default" w:ascii="Arial" w:hAnsi="Arial" w:eastAsia="宋体" w:cs="Arial"/>
                <w:sz w:val="21"/>
                <w:szCs w:val="21"/>
              </w:rPr>
            </w:pPr>
            <w:r>
              <w:rPr>
                <w:rFonts w:hint="default" w:ascii="Arial" w:hAnsi="Arial" w:eastAsia="宋体" w:cs="Arial"/>
                <w:sz w:val="21"/>
                <w:szCs w:val="21"/>
              </w:rPr>
              <w:t>用于垂直设备和管道</w:t>
            </w:r>
          </w:p>
        </w:tc>
      </w:tr>
    </w:tbl>
    <w:p w14:paraId="74B25D0F">
      <w:pPr>
        <w:pStyle w:val="3"/>
        <w:numPr>
          <w:ilvl w:val="0"/>
          <w:numId w:val="0"/>
        </w:numPr>
        <w:spacing w:before="0" w:beforeLines="0" w:after="0" w:afterLines="0"/>
        <w:rPr>
          <w:rFonts w:hint="default" w:ascii="Arial" w:hAnsi="Arial" w:eastAsia="宋体" w:cs="Arial"/>
          <w:color w:val="auto"/>
          <w:sz w:val="24"/>
          <w:highlight w:val="none"/>
          <w:shd w:val="clear" w:color="auto" w:fill="auto"/>
        </w:rPr>
      </w:pPr>
      <w:bookmarkStart w:id="111" w:name="3.2.9绝热厚度"/>
      <w:bookmarkEnd w:id="111"/>
      <w:bookmarkStart w:id="112" w:name="_Toc18298"/>
      <w:r>
        <w:rPr>
          <w:rFonts w:hint="default" w:ascii="Arial" w:hAnsi="Arial" w:eastAsia="宋体" w:cs="Arial"/>
          <w:b/>
          <w:bCs/>
          <w:color w:val="auto"/>
          <w:sz w:val="24"/>
          <w:szCs w:val="24"/>
          <w:highlight w:val="none"/>
          <w:shd w:val="clear" w:color="auto" w:fill="auto"/>
          <w:lang w:val="en-US" w:eastAsia="zh-CN"/>
        </w:rPr>
        <w:t>3.2.9绝热厚度</w:t>
      </w:r>
      <w:bookmarkEnd w:id="112"/>
    </w:p>
    <w:p w14:paraId="3DE58DC8">
      <w:pPr>
        <w:keepNext w:val="0"/>
        <w:keepLines w:val="0"/>
        <w:pageBreakBefore w:val="0"/>
        <w:widowControl/>
        <w:numPr>
          <w:ilvl w:val="0"/>
          <w:numId w:val="15"/>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保温层厚度</w:t>
      </w:r>
    </w:p>
    <w:p w14:paraId="5D6A85B7">
      <w:pPr>
        <w:pStyle w:val="6"/>
        <w:keepNext w:val="0"/>
        <w:keepLines w:val="0"/>
        <w:pageBreakBefore w:val="0"/>
        <w:widowControl w:val="0"/>
        <w:kinsoku/>
        <w:wordWrap/>
        <w:overflowPunct/>
        <w:topLinePunct w:val="0"/>
        <w:autoSpaceDE/>
        <w:autoSpaceDN/>
        <w:bidi w:val="0"/>
        <w:adjustRightInd/>
        <w:snapToGrid/>
        <w:spacing w:line="360" w:lineRule="auto"/>
        <w:ind w:left="0" w:right="0" w:firstLine="476" w:firstLineChars="200"/>
        <w:jc w:val="both"/>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pacing w:val="-1"/>
          <w:sz w:val="24"/>
          <w:szCs w:val="24"/>
          <w:highlight w:val="none"/>
          <w:shd w:val="clear" w:color="auto" w:fill="auto"/>
        </w:rPr>
        <w:t>a</w:t>
      </w:r>
      <w:r>
        <w:rPr>
          <w:rFonts w:hint="default" w:ascii="Arial" w:hAnsi="Arial" w:eastAsia="宋体" w:cs="Arial"/>
          <w:color w:val="auto"/>
          <w:spacing w:val="-6"/>
          <w:sz w:val="24"/>
          <w:szCs w:val="24"/>
          <w:highlight w:val="none"/>
          <w:shd w:val="clear" w:color="auto" w:fill="auto"/>
        </w:rPr>
        <w:t>、为减少保温结构散热损失的保温层厚度，应按</w:t>
      </w:r>
      <w:r>
        <w:rPr>
          <w:rFonts w:hint="default" w:ascii="Arial" w:hAnsi="Arial" w:eastAsia="宋体" w:cs="Arial"/>
          <w:color w:val="auto"/>
          <w:sz w:val="24"/>
          <w:szCs w:val="24"/>
          <w:highlight w:val="none"/>
          <w:shd w:val="clear" w:color="auto" w:fill="auto"/>
        </w:rPr>
        <w:t>“</w:t>
      </w:r>
      <w:r>
        <w:rPr>
          <w:rFonts w:hint="default" w:ascii="Arial" w:hAnsi="Arial" w:eastAsia="宋体" w:cs="Arial"/>
          <w:color w:val="auto"/>
          <w:spacing w:val="-2"/>
          <w:sz w:val="24"/>
          <w:szCs w:val="24"/>
          <w:highlight w:val="none"/>
          <w:shd w:val="clear" w:color="auto" w:fill="auto"/>
        </w:rPr>
        <w:t>经济厚度法</w:t>
      </w:r>
      <w:r>
        <w:rPr>
          <w:rFonts w:hint="default" w:ascii="Arial" w:hAnsi="Arial" w:eastAsia="宋体" w:cs="Arial"/>
          <w:color w:val="auto"/>
          <w:spacing w:val="-3"/>
          <w:sz w:val="24"/>
          <w:szCs w:val="24"/>
          <w:highlight w:val="none"/>
          <w:shd w:val="clear" w:color="auto" w:fill="auto"/>
        </w:rPr>
        <w:t>”</w:t>
      </w:r>
      <w:r>
        <w:rPr>
          <w:rFonts w:hint="default" w:ascii="Arial" w:hAnsi="Arial" w:eastAsia="宋体" w:cs="Arial"/>
          <w:color w:val="auto"/>
          <w:spacing w:val="-10"/>
          <w:sz w:val="24"/>
          <w:szCs w:val="24"/>
          <w:highlight w:val="none"/>
          <w:shd w:val="clear" w:color="auto" w:fill="auto"/>
        </w:rPr>
        <w:t>计算，其散</w:t>
      </w:r>
      <w:r>
        <w:rPr>
          <w:rFonts w:hint="default" w:ascii="Arial" w:hAnsi="Arial" w:eastAsia="宋体" w:cs="Arial"/>
          <w:color w:val="auto"/>
          <w:spacing w:val="-8"/>
          <w:sz w:val="24"/>
          <w:szCs w:val="24"/>
          <w:highlight w:val="none"/>
          <w:shd w:val="clear" w:color="auto" w:fill="auto"/>
        </w:rPr>
        <w:t>热损失不得超过标准的规定值。只有在用</w:t>
      </w:r>
      <w:r>
        <w:rPr>
          <w:rFonts w:hint="default" w:ascii="Arial" w:hAnsi="Arial" w:eastAsia="宋体" w:cs="Arial"/>
          <w:color w:val="auto"/>
          <w:sz w:val="24"/>
          <w:szCs w:val="24"/>
          <w:highlight w:val="none"/>
          <w:shd w:val="clear" w:color="auto" w:fill="auto"/>
        </w:rPr>
        <w:t>“</w:t>
      </w:r>
      <w:r>
        <w:rPr>
          <w:rFonts w:hint="default" w:ascii="Arial" w:hAnsi="Arial" w:eastAsia="宋体" w:cs="Arial"/>
          <w:color w:val="auto"/>
          <w:spacing w:val="-3"/>
          <w:sz w:val="24"/>
          <w:szCs w:val="24"/>
          <w:highlight w:val="none"/>
          <w:shd w:val="clear" w:color="auto" w:fill="auto"/>
        </w:rPr>
        <w:t>经济厚度法</w:t>
      </w:r>
      <w:r>
        <w:rPr>
          <w:rFonts w:hint="default" w:ascii="Arial" w:hAnsi="Arial" w:eastAsia="宋体" w:cs="Arial"/>
          <w:color w:val="auto"/>
          <w:sz w:val="24"/>
          <w:szCs w:val="24"/>
          <w:highlight w:val="none"/>
          <w:shd w:val="clear" w:color="auto" w:fill="auto"/>
        </w:rPr>
        <w:t>”</w:t>
      </w:r>
      <w:r>
        <w:rPr>
          <w:rFonts w:hint="default" w:ascii="Arial" w:hAnsi="Arial" w:eastAsia="宋体" w:cs="Arial"/>
          <w:color w:val="auto"/>
          <w:spacing w:val="-3"/>
          <w:sz w:val="24"/>
          <w:szCs w:val="24"/>
          <w:highlight w:val="none"/>
          <w:shd w:val="clear" w:color="auto" w:fill="auto"/>
        </w:rPr>
        <w:t>计算无法满足散热损失要求或无法使用</w:t>
      </w:r>
      <w:r>
        <w:rPr>
          <w:rFonts w:hint="default" w:ascii="Arial" w:hAnsi="Arial" w:eastAsia="宋体" w:cs="Arial"/>
          <w:color w:val="auto"/>
          <w:sz w:val="24"/>
          <w:szCs w:val="24"/>
          <w:highlight w:val="none"/>
          <w:shd w:val="clear" w:color="auto" w:fill="auto"/>
        </w:rPr>
        <w:t>“</w:t>
      </w:r>
      <w:r>
        <w:rPr>
          <w:rFonts w:hint="default" w:ascii="Arial" w:hAnsi="Arial" w:eastAsia="宋体" w:cs="Arial"/>
          <w:color w:val="auto"/>
          <w:spacing w:val="-3"/>
          <w:sz w:val="24"/>
          <w:szCs w:val="24"/>
          <w:highlight w:val="none"/>
          <w:shd w:val="clear" w:color="auto" w:fill="auto"/>
        </w:rPr>
        <w:t>经济厚度法</w:t>
      </w:r>
      <w:r>
        <w:rPr>
          <w:rFonts w:hint="default" w:ascii="Arial" w:hAnsi="Arial" w:eastAsia="宋体" w:cs="Arial"/>
          <w:color w:val="auto"/>
          <w:sz w:val="24"/>
          <w:szCs w:val="24"/>
          <w:highlight w:val="none"/>
          <w:shd w:val="clear" w:color="auto" w:fill="auto"/>
        </w:rPr>
        <w:t>”</w:t>
      </w:r>
      <w:r>
        <w:rPr>
          <w:rFonts w:hint="default" w:ascii="Arial" w:hAnsi="Arial" w:eastAsia="宋体" w:cs="Arial"/>
          <w:color w:val="auto"/>
          <w:spacing w:val="-3"/>
          <w:sz w:val="24"/>
          <w:szCs w:val="24"/>
          <w:highlight w:val="none"/>
          <w:shd w:val="clear" w:color="auto" w:fill="auto"/>
        </w:rPr>
        <w:t>计算时，方可按允许热损失计算；</w:t>
      </w:r>
    </w:p>
    <w:p w14:paraId="715C940B">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b、防止烫伤部位的保温层厚度，应按“表面温度法”计算，保温层外表面温度不宜超过 60℃；</w:t>
      </w:r>
    </w:p>
    <w:p w14:paraId="124AB34D">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c、为限定表面散热热流量，应采用最大允许散热损失法计算。</w:t>
      </w:r>
    </w:p>
    <w:p w14:paraId="7FD57A96">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d、保温结构详见附录 1 保温结构示意图。</w:t>
      </w:r>
    </w:p>
    <w:p w14:paraId="51983CE5">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e、硅酸铝制品保温厚度可按</w:t>
      </w:r>
      <w:r>
        <w:rPr>
          <w:rFonts w:hint="eastAsia" w:ascii="Arial" w:hAnsi="Arial" w:cs="Arial"/>
          <w:color w:val="auto"/>
          <w:sz w:val="24"/>
          <w:szCs w:val="24"/>
          <w:highlight w:val="none"/>
          <w:shd w:val="clear" w:color="auto" w:fill="auto"/>
          <w:lang w:eastAsia="zh-CN"/>
        </w:rPr>
        <w:t>下表</w:t>
      </w:r>
      <w:r>
        <w:rPr>
          <w:rFonts w:hint="default" w:ascii="Arial" w:hAnsi="Arial" w:eastAsia="宋体" w:cs="Arial"/>
          <w:color w:val="auto"/>
          <w:sz w:val="24"/>
          <w:szCs w:val="24"/>
          <w:highlight w:val="none"/>
          <w:shd w:val="clear" w:color="auto" w:fill="auto"/>
        </w:rPr>
        <w:t>选取。</w:t>
      </w:r>
    </w:p>
    <w:p w14:paraId="4C9260B8">
      <w:pPr>
        <w:tabs>
          <w:tab w:val="left" w:pos="1733"/>
        </w:tabs>
        <w:autoSpaceDE w:val="0"/>
        <w:autoSpaceDN w:val="0"/>
        <w:adjustRightInd w:val="0"/>
        <w:snapToGrid w:val="0"/>
        <w:spacing w:line="360" w:lineRule="auto"/>
        <w:jc w:val="left"/>
        <w:rPr>
          <w:rFonts w:hint="eastAsia" w:ascii="Arial" w:hAnsi="Arial"/>
          <w:sz w:val="24"/>
          <w:highlight w:val="none"/>
        </w:rPr>
      </w:pPr>
      <w:r>
        <w:rPr>
          <w:rFonts w:hint="eastAsia" w:ascii="Arial" w:hAnsi="Arial"/>
          <w:sz w:val="24"/>
          <w:highlight w:val="none"/>
          <w:lang w:val="en-US" w:eastAsia="zh-CN"/>
        </w:rPr>
        <w:t>1）</w:t>
      </w:r>
      <w:r>
        <w:rPr>
          <w:rFonts w:ascii="Arial" w:hAnsi="Arial"/>
          <w:sz w:val="24"/>
          <w:highlight w:val="none"/>
        </w:rPr>
        <w:t>.</w:t>
      </w:r>
      <w:r>
        <w:rPr>
          <w:rFonts w:hint="eastAsia"/>
          <w:highlight w:val="none"/>
        </w:rPr>
        <w:t xml:space="preserve"> </w:t>
      </w:r>
      <w:r>
        <w:rPr>
          <w:rFonts w:hint="eastAsia" w:ascii="Arial" w:hAnsi="Arial"/>
          <w:sz w:val="24"/>
          <w:highlight w:val="none"/>
        </w:rPr>
        <w:t>机编硅酸铝保温绳（DN≤25）</w:t>
      </w:r>
    </w:p>
    <w:tbl>
      <w:tblPr>
        <w:tblStyle w:val="1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037"/>
        <w:gridCol w:w="1044"/>
        <w:gridCol w:w="1101"/>
        <w:gridCol w:w="1101"/>
        <w:gridCol w:w="1101"/>
        <w:gridCol w:w="1101"/>
        <w:gridCol w:w="1101"/>
        <w:gridCol w:w="1102"/>
        <w:gridCol w:w="1108"/>
      </w:tblGrid>
      <w:tr w14:paraId="1E4B2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28586F74">
            <w:pPr>
              <w:jc w:val="center"/>
              <w:rPr>
                <w:rFonts w:ascii="Arial" w:hAnsi="Arial" w:eastAsia="仿宋_GB2312"/>
                <w:szCs w:val="21"/>
                <w:highlight w:val="none"/>
              </w:rPr>
            </w:pPr>
            <w:r>
              <w:rPr>
                <w:rFonts w:hint="default" w:ascii="Arial" w:hAnsi="Arial" w:eastAsia="仿宋_GB2312"/>
                <w:szCs w:val="21"/>
                <w:highlight w:val="none"/>
              </w:rPr>
              <w:t>操作温度 (℃)</w:t>
            </w:r>
          </w:p>
        </w:tc>
        <w:tc>
          <w:tcPr>
            <w:tcW w:w="533" w:type="pct"/>
            <w:noWrap w:val="0"/>
            <w:vAlign w:val="center"/>
          </w:tcPr>
          <w:p w14:paraId="40F0E3B1">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60</w:t>
            </w:r>
            <w:r>
              <w:rPr>
                <w:rFonts w:hint="eastAsia" w:ascii="Arial" w:hAnsi="Arial" w:eastAsia="仿宋_GB2312" w:cs="仿宋_GB2312"/>
                <w:szCs w:val="21"/>
                <w:highlight w:val="none"/>
              </w:rPr>
              <w:t>℃</w:t>
            </w:r>
          </w:p>
        </w:tc>
        <w:tc>
          <w:tcPr>
            <w:tcW w:w="562" w:type="pct"/>
            <w:noWrap w:val="0"/>
            <w:vAlign w:val="center"/>
          </w:tcPr>
          <w:p w14:paraId="2101F80F">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150</w:t>
            </w:r>
            <w:r>
              <w:rPr>
                <w:rFonts w:hint="eastAsia" w:ascii="Arial" w:hAnsi="Arial" w:eastAsia="仿宋_GB2312" w:cs="仿宋_GB2312"/>
                <w:szCs w:val="21"/>
                <w:highlight w:val="none"/>
              </w:rPr>
              <w:t>℃</w:t>
            </w:r>
          </w:p>
        </w:tc>
        <w:tc>
          <w:tcPr>
            <w:tcW w:w="562" w:type="pct"/>
            <w:noWrap w:val="0"/>
            <w:vAlign w:val="center"/>
          </w:tcPr>
          <w:p w14:paraId="7BA5300A">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250</w:t>
            </w:r>
            <w:r>
              <w:rPr>
                <w:rFonts w:hint="eastAsia" w:ascii="Arial" w:hAnsi="Arial" w:eastAsia="仿宋_GB2312" w:cs="仿宋_GB2312"/>
                <w:szCs w:val="21"/>
                <w:highlight w:val="none"/>
              </w:rPr>
              <w:t>℃</w:t>
            </w:r>
          </w:p>
        </w:tc>
        <w:tc>
          <w:tcPr>
            <w:tcW w:w="562" w:type="pct"/>
            <w:noWrap w:val="0"/>
            <w:vAlign w:val="center"/>
          </w:tcPr>
          <w:p w14:paraId="4E49CCF1">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300</w:t>
            </w:r>
            <w:r>
              <w:rPr>
                <w:rFonts w:hint="eastAsia" w:ascii="Arial" w:hAnsi="Arial" w:eastAsia="仿宋_GB2312" w:cs="仿宋_GB2312"/>
                <w:szCs w:val="21"/>
                <w:highlight w:val="none"/>
              </w:rPr>
              <w:t>℃</w:t>
            </w:r>
          </w:p>
        </w:tc>
        <w:tc>
          <w:tcPr>
            <w:tcW w:w="562" w:type="pct"/>
            <w:noWrap w:val="0"/>
            <w:vAlign w:val="center"/>
          </w:tcPr>
          <w:p w14:paraId="2C67A9D9">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350</w:t>
            </w:r>
            <w:r>
              <w:rPr>
                <w:rFonts w:hint="eastAsia" w:ascii="Arial" w:hAnsi="Arial" w:eastAsia="仿宋_GB2312" w:cs="仿宋_GB2312"/>
                <w:szCs w:val="21"/>
                <w:highlight w:val="none"/>
              </w:rPr>
              <w:t>℃</w:t>
            </w:r>
          </w:p>
        </w:tc>
        <w:tc>
          <w:tcPr>
            <w:tcW w:w="562" w:type="pct"/>
            <w:noWrap w:val="0"/>
            <w:vAlign w:val="center"/>
          </w:tcPr>
          <w:p w14:paraId="5C8C64E2">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400</w:t>
            </w:r>
            <w:r>
              <w:rPr>
                <w:rFonts w:hint="eastAsia" w:ascii="Arial" w:hAnsi="Arial" w:eastAsia="仿宋_GB2312" w:cs="仿宋_GB2312"/>
                <w:szCs w:val="21"/>
                <w:highlight w:val="none"/>
              </w:rPr>
              <w:t>℃</w:t>
            </w:r>
          </w:p>
        </w:tc>
        <w:tc>
          <w:tcPr>
            <w:tcW w:w="562" w:type="pct"/>
            <w:noWrap w:val="0"/>
            <w:vAlign w:val="center"/>
          </w:tcPr>
          <w:p w14:paraId="2C9D0C4A">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450</w:t>
            </w:r>
            <w:r>
              <w:rPr>
                <w:rFonts w:hint="eastAsia" w:ascii="Arial" w:hAnsi="Arial" w:eastAsia="仿宋_GB2312" w:cs="仿宋_GB2312"/>
                <w:szCs w:val="21"/>
                <w:highlight w:val="none"/>
              </w:rPr>
              <w:t>℃</w:t>
            </w:r>
          </w:p>
        </w:tc>
        <w:tc>
          <w:tcPr>
            <w:tcW w:w="562" w:type="pct"/>
            <w:noWrap w:val="0"/>
            <w:vAlign w:val="center"/>
          </w:tcPr>
          <w:p w14:paraId="7AD32D93">
            <w:pPr>
              <w:jc w:val="center"/>
              <w:rPr>
                <w:rFonts w:ascii="Arial" w:hAnsi="Arial" w:eastAsia="仿宋_GB2312"/>
                <w:szCs w:val="21"/>
                <w:highlight w:val="none"/>
              </w:rPr>
            </w:pPr>
            <w:r>
              <w:rPr>
                <w:rFonts w:hint="eastAsia" w:ascii="Arial" w:hAnsi="Arial" w:eastAsia="仿宋_GB2312" w:cs="仿宋_GB2312"/>
                <w:szCs w:val="21"/>
                <w:highlight w:val="none"/>
              </w:rPr>
              <w:t>～</w:t>
            </w:r>
            <w:r>
              <w:rPr>
                <w:rFonts w:ascii="Arial" w:hAnsi="Arial" w:eastAsia="仿宋_GB2312" w:cs="Arial"/>
                <w:szCs w:val="21"/>
                <w:highlight w:val="none"/>
              </w:rPr>
              <w:t>500</w:t>
            </w:r>
            <w:r>
              <w:rPr>
                <w:rFonts w:hint="eastAsia" w:ascii="Arial" w:hAnsi="Arial" w:eastAsia="仿宋_GB2312" w:cs="仿宋_GB2312"/>
                <w:szCs w:val="21"/>
                <w:highlight w:val="none"/>
              </w:rPr>
              <w:t>℃</w:t>
            </w:r>
          </w:p>
        </w:tc>
      </w:tr>
      <w:tr w14:paraId="104BD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35C1CA49">
            <w:pPr>
              <w:jc w:val="center"/>
              <w:rPr>
                <w:rFonts w:hint="eastAsia" w:ascii="Arial" w:hAnsi="Arial" w:eastAsia="仿宋_GB2312" w:cs="仿宋_GB2312"/>
                <w:szCs w:val="21"/>
                <w:highlight w:val="none"/>
              </w:rPr>
            </w:pPr>
            <w:r>
              <w:rPr>
                <w:rFonts w:hint="default" w:ascii="Arial" w:hAnsi="Arial" w:eastAsia="宋体" w:cs="Arial"/>
                <w:sz w:val="21"/>
                <w:szCs w:val="21"/>
                <w:highlight w:val="none"/>
              </w:rPr>
              <w:t>DN(mm)</w:t>
            </w:r>
          </w:p>
        </w:tc>
        <w:tc>
          <w:tcPr>
            <w:tcW w:w="4470" w:type="pct"/>
            <w:gridSpan w:val="8"/>
            <w:noWrap w:val="0"/>
            <w:vAlign w:val="center"/>
          </w:tcPr>
          <w:p w14:paraId="58C84E06">
            <w:pPr>
              <w:jc w:val="center"/>
              <w:rPr>
                <w:rFonts w:hint="eastAsia" w:ascii="Arial" w:hAnsi="Arial" w:eastAsia="仿宋_GB2312" w:cs="仿宋_GB2312"/>
                <w:szCs w:val="21"/>
                <w:highlight w:val="none"/>
              </w:rPr>
            </w:pPr>
            <w:r>
              <w:rPr>
                <w:rFonts w:hint="default" w:ascii="Arial" w:hAnsi="Arial" w:eastAsia="宋体" w:cs="Arial"/>
                <w:sz w:val="21"/>
                <w:szCs w:val="21"/>
                <w:highlight w:val="none"/>
              </w:rPr>
              <w:t>厚度（mm）</w:t>
            </w:r>
          </w:p>
        </w:tc>
      </w:tr>
      <w:tr w14:paraId="68115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6BB61AB6">
            <w:pPr>
              <w:jc w:val="center"/>
              <w:rPr>
                <w:rFonts w:ascii="Arial" w:hAnsi="Arial" w:eastAsia="仿宋_GB2312" w:cs="Arial"/>
                <w:szCs w:val="21"/>
                <w:highlight w:val="none"/>
              </w:rPr>
            </w:pPr>
            <w:r>
              <w:rPr>
                <w:rFonts w:ascii="Arial" w:hAnsi="Arial" w:eastAsia="仿宋_GB2312" w:cs="Arial"/>
                <w:szCs w:val="21"/>
                <w:highlight w:val="none"/>
              </w:rPr>
              <w:t>10</w:t>
            </w:r>
          </w:p>
        </w:tc>
        <w:tc>
          <w:tcPr>
            <w:tcW w:w="533" w:type="pct"/>
            <w:noWrap w:val="0"/>
            <w:vAlign w:val="center"/>
          </w:tcPr>
          <w:p w14:paraId="4017DA03">
            <w:pPr>
              <w:jc w:val="center"/>
              <w:rPr>
                <w:rFonts w:ascii="Arial" w:hAnsi="Arial" w:eastAsia="仿宋_GB2312" w:cs="Arial"/>
                <w:szCs w:val="21"/>
                <w:highlight w:val="none"/>
              </w:rPr>
            </w:pPr>
          </w:p>
        </w:tc>
        <w:tc>
          <w:tcPr>
            <w:tcW w:w="562" w:type="pct"/>
            <w:noWrap w:val="0"/>
            <w:vAlign w:val="center"/>
          </w:tcPr>
          <w:p w14:paraId="7D7897A9">
            <w:pPr>
              <w:jc w:val="center"/>
              <w:rPr>
                <w:rFonts w:ascii="Arial" w:hAnsi="Arial" w:eastAsia="仿宋_GB2312" w:cs="Arial"/>
                <w:szCs w:val="21"/>
                <w:highlight w:val="none"/>
              </w:rPr>
            </w:pPr>
          </w:p>
        </w:tc>
        <w:tc>
          <w:tcPr>
            <w:tcW w:w="562" w:type="pct"/>
            <w:noWrap w:val="0"/>
            <w:vAlign w:val="center"/>
          </w:tcPr>
          <w:p w14:paraId="5AB98521">
            <w:pPr>
              <w:jc w:val="center"/>
              <w:rPr>
                <w:rFonts w:ascii="Arial" w:hAnsi="Arial" w:eastAsia="仿宋_GB2312" w:cs="Arial"/>
                <w:szCs w:val="21"/>
                <w:highlight w:val="none"/>
              </w:rPr>
            </w:pPr>
          </w:p>
        </w:tc>
        <w:tc>
          <w:tcPr>
            <w:tcW w:w="562" w:type="pct"/>
            <w:noWrap w:val="0"/>
            <w:vAlign w:val="center"/>
          </w:tcPr>
          <w:p w14:paraId="738C77F3">
            <w:pPr>
              <w:jc w:val="center"/>
              <w:rPr>
                <w:rFonts w:ascii="Arial" w:hAnsi="Arial" w:eastAsia="仿宋_GB2312" w:cs="Arial"/>
                <w:szCs w:val="21"/>
                <w:highlight w:val="none"/>
              </w:rPr>
            </w:pPr>
          </w:p>
        </w:tc>
        <w:tc>
          <w:tcPr>
            <w:tcW w:w="562" w:type="pct"/>
            <w:noWrap w:val="0"/>
            <w:vAlign w:val="center"/>
          </w:tcPr>
          <w:p w14:paraId="0E57A44F">
            <w:pPr>
              <w:jc w:val="center"/>
              <w:rPr>
                <w:rFonts w:ascii="Arial" w:hAnsi="Arial" w:eastAsia="仿宋_GB2312" w:cs="Arial"/>
                <w:szCs w:val="21"/>
                <w:highlight w:val="none"/>
              </w:rPr>
            </w:pPr>
          </w:p>
        </w:tc>
        <w:tc>
          <w:tcPr>
            <w:tcW w:w="562" w:type="pct"/>
            <w:noWrap w:val="0"/>
            <w:vAlign w:val="center"/>
          </w:tcPr>
          <w:p w14:paraId="17A90C47">
            <w:pPr>
              <w:jc w:val="center"/>
              <w:rPr>
                <w:rFonts w:ascii="Arial" w:hAnsi="Arial" w:eastAsia="仿宋_GB2312" w:cs="Arial"/>
                <w:szCs w:val="21"/>
                <w:highlight w:val="none"/>
              </w:rPr>
            </w:pPr>
          </w:p>
        </w:tc>
        <w:tc>
          <w:tcPr>
            <w:tcW w:w="562" w:type="pct"/>
            <w:noWrap w:val="0"/>
            <w:vAlign w:val="center"/>
          </w:tcPr>
          <w:p w14:paraId="6B899631">
            <w:pPr>
              <w:jc w:val="center"/>
              <w:rPr>
                <w:rFonts w:ascii="Arial" w:hAnsi="Arial" w:eastAsia="仿宋_GB2312" w:cs="Arial"/>
                <w:szCs w:val="21"/>
                <w:highlight w:val="none"/>
              </w:rPr>
            </w:pPr>
          </w:p>
        </w:tc>
        <w:tc>
          <w:tcPr>
            <w:tcW w:w="562" w:type="pct"/>
            <w:noWrap w:val="0"/>
            <w:vAlign w:val="center"/>
          </w:tcPr>
          <w:p w14:paraId="67183082">
            <w:pPr>
              <w:jc w:val="center"/>
              <w:rPr>
                <w:rFonts w:ascii="Arial" w:hAnsi="Arial" w:eastAsia="仿宋_GB2312" w:cs="Arial"/>
                <w:szCs w:val="21"/>
                <w:highlight w:val="none"/>
              </w:rPr>
            </w:pPr>
          </w:p>
        </w:tc>
      </w:tr>
      <w:tr w14:paraId="72583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48DBA4AA">
            <w:pPr>
              <w:jc w:val="center"/>
              <w:rPr>
                <w:rFonts w:ascii="Arial" w:hAnsi="Arial" w:eastAsia="仿宋_GB2312" w:cs="Arial"/>
                <w:szCs w:val="21"/>
                <w:highlight w:val="none"/>
              </w:rPr>
            </w:pPr>
            <w:r>
              <w:rPr>
                <w:rFonts w:ascii="Arial" w:hAnsi="Arial" w:eastAsia="仿宋_GB2312" w:cs="Arial"/>
                <w:szCs w:val="21"/>
                <w:highlight w:val="none"/>
              </w:rPr>
              <w:t>15</w:t>
            </w:r>
          </w:p>
        </w:tc>
        <w:tc>
          <w:tcPr>
            <w:tcW w:w="533" w:type="pct"/>
            <w:noWrap w:val="0"/>
            <w:vAlign w:val="center"/>
          </w:tcPr>
          <w:p w14:paraId="60EFAE74">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4B949768">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71216EFA">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5A9FF11E">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72ED2215">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729980A4">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5C14DF2C">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1DA256CF">
            <w:pPr>
              <w:jc w:val="center"/>
              <w:rPr>
                <w:rFonts w:ascii="Arial" w:hAnsi="Arial" w:eastAsia="仿宋_GB2312" w:cs="Arial"/>
                <w:szCs w:val="21"/>
                <w:highlight w:val="none"/>
              </w:rPr>
            </w:pPr>
            <w:r>
              <w:rPr>
                <w:rFonts w:ascii="Arial" w:hAnsi="Arial" w:eastAsia="仿宋_GB2312" w:cs="Arial"/>
                <w:szCs w:val="21"/>
                <w:highlight w:val="none"/>
              </w:rPr>
              <w:t>40</w:t>
            </w:r>
          </w:p>
        </w:tc>
      </w:tr>
      <w:tr w14:paraId="3FBD1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50C4EC59">
            <w:pPr>
              <w:jc w:val="center"/>
              <w:rPr>
                <w:rFonts w:ascii="Arial" w:hAnsi="Arial" w:eastAsia="仿宋_GB2312" w:cs="Arial"/>
                <w:szCs w:val="21"/>
                <w:highlight w:val="none"/>
              </w:rPr>
            </w:pPr>
            <w:r>
              <w:rPr>
                <w:rFonts w:ascii="Arial" w:hAnsi="Arial" w:eastAsia="仿宋_GB2312" w:cs="Arial"/>
                <w:szCs w:val="21"/>
                <w:highlight w:val="none"/>
              </w:rPr>
              <w:t>20</w:t>
            </w:r>
          </w:p>
        </w:tc>
        <w:tc>
          <w:tcPr>
            <w:tcW w:w="533" w:type="pct"/>
            <w:noWrap w:val="0"/>
            <w:vAlign w:val="center"/>
          </w:tcPr>
          <w:p w14:paraId="21F8F1AD">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40616F2D">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3A410544">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6D0CD16D">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39290876">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0AB567CC">
            <w:pPr>
              <w:jc w:val="center"/>
              <w:rPr>
                <w:rFonts w:ascii="Arial" w:hAnsi="Arial" w:eastAsia="仿宋_GB2312" w:cs="Arial"/>
                <w:szCs w:val="21"/>
                <w:highlight w:val="none"/>
              </w:rPr>
            </w:pPr>
            <w:r>
              <w:rPr>
                <w:rFonts w:ascii="Arial" w:hAnsi="Arial" w:eastAsia="仿宋_GB2312" w:cs="Arial"/>
                <w:szCs w:val="21"/>
                <w:highlight w:val="none"/>
              </w:rPr>
              <w:t>50</w:t>
            </w:r>
          </w:p>
        </w:tc>
        <w:tc>
          <w:tcPr>
            <w:tcW w:w="562" w:type="pct"/>
            <w:noWrap w:val="0"/>
            <w:vAlign w:val="center"/>
          </w:tcPr>
          <w:p w14:paraId="25AA0122">
            <w:pPr>
              <w:jc w:val="center"/>
              <w:rPr>
                <w:rFonts w:ascii="Arial" w:hAnsi="Arial" w:eastAsia="仿宋_GB2312" w:cs="Arial"/>
                <w:szCs w:val="21"/>
                <w:highlight w:val="none"/>
              </w:rPr>
            </w:pPr>
            <w:r>
              <w:rPr>
                <w:rFonts w:ascii="Arial" w:hAnsi="Arial" w:eastAsia="仿宋_GB2312" w:cs="Arial"/>
                <w:szCs w:val="21"/>
                <w:highlight w:val="none"/>
              </w:rPr>
              <w:t>50</w:t>
            </w:r>
          </w:p>
        </w:tc>
        <w:tc>
          <w:tcPr>
            <w:tcW w:w="562" w:type="pct"/>
            <w:noWrap w:val="0"/>
            <w:vAlign w:val="center"/>
          </w:tcPr>
          <w:p w14:paraId="2E1675F3">
            <w:pPr>
              <w:jc w:val="center"/>
              <w:rPr>
                <w:rFonts w:ascii="Arial" w:hAnsi="Arial" w:eastAsia="仿宋_GB2312" w:cs="Arial"/>
                <w:szCs w:val="21"/>
                <w:highlight w:val="none"/>
              </w:rPr>
            </w:pPr>
            <w:r>
              <w:rPr>
                <w:rFonts w:ascii="Arial" w:hAnsi="Arial" w:eastAsia="仿宋_GB2312" w:cs="Arial"/>
                <w:szCs w:val="21"/>
                <w:highlight w:val="none"/>
              </w:rPr>
              <w:t>50</w:t>
            </w:r>
          </w:p>
        </w:tc>
      </w:tr>
      <w:tr w14:paraId="49214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529" w:type="pct"/>
            <w:noWrap w:val="0"/>
            <w:vAlign w:val="center"/>
          </w:tcPr>
          <w:p w14:paraId="141B026C">
            <w:pPr>
              <w:jc w:val="center"/>
              <w:rPr>
                <w:rFonts w:ascii="Arial" w:hAnsi="Arial" w:eastAsia="仿宋_GB2312" w:cs="Arial"/>
                <w:szCs w:val="21"/>
                <w:highlight w:val="none"/>
              </w:rPr>
            </w:pPr>
            <w:r>
              <w:rPr>
                <w:rFonts w:ascii="Arial" w:hAnsi="Arial" w:eastAsia="仿宋_GB2312" w:cs="Arial"/>
                <w:szCs w:val="21"/>
                <w:highlight w:val="none"/>
              </w:rPr>
              <w:t>25</w:t>
            </w:r>
          </w:p>
        </w:tc>
        <w:tc>
          <w:tcPr>
            <w:tcW w:w="533" w:type="pct"/>
            <w:noWrap w:val="0"/>
            <w:vAlign w:val="center"/>
          </w:tcPr>
          <w:p w14:paraId="4463B4C0">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2A9D1554">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7061FC3B">
            <w:pPr>
              <w:jc w:val="center"/>
              <w:rPr>
                <w:rFonts w:ascii="Arial" w:hAnsi="Arial" w:eastAsia="仿宋_GB2312" w:cs="Arial"/>
                <w:szCs w:val="21"/>
                <w:highlight w:val="none"/>
              </w:rPr>
            </w:pPr>
            <w:r>
              <w:rPr>
                <w:rFonts w:ascii="Arial" w:hAnsi="Arial" w:eastAsia="仿宋_GB2312" w:cs="Arial"/>
                <w:szCs w:val="21"/>
                <w:highlight w:val="none"/>
              </w:rPr>
              <w:t>30</w:t>
            </w:r>
          </w:p>
        </w:tc>
        <w:tc>
          <w:tcPr>
            <w:tcW w:w="562" w:type="pct"/>
            <w:noWrap w:val="0"/>
            <w:vAlign w:val="center"/>
          </w:tcPr>
          <w:p w14:paraId="3B8C0A44">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1F124994">
            <w:pPr>
              <w:jc w:val="center"/>
              <w:rPr>
                <w:rFonts w:ascii="Arial" w:hAnsi="Arial" w:eastAsia="仿宋_GB2312" w:cs="Arial"/>
                <w:szCs w:val="21"/>
                <w:highlight w:val="none"/>
              </w:rPr>
            </w:pPr>
            <w:r>
              <w:rPr>
                <w:rFonts w:ascii="Arial" w:hAnsi="Arial" w:eastAsia="仿宋_GB2312" w:cs="Arial"/>
                <w:szCs w:val="21"/>
                <w:highlight w:val="none"/>
              </w:rPr>
              <w:t>40</w:t>
            </w:r>
          </w:p>
        </w:tc>
        <w:tc>
          <w:tcPr>
            <w:tcW w:w="562" w:type="pct"/>
            <w:noWrap w:val="0"/>
            <w:vAlign w:val="center"/>
          </w:tcPr>
          <w:p w14:paraId="6B0833F8">
            <w:pPr>
              <w:jc w:val="center"/>
              <w:rPr>
                <w:rFonts w:ascii="Arial" w:hAnsi="Arial" w:eastAsia="仿宋_GB2312" w:cs="Arial"/>
                <w:szCs w:val="21"/>
                <w:highlight w:val="none"/>
              </w:rPr>
            </w:pPr>
            <w:r>
              <w:rPr>
                <w:rFonts w:ascii="Arial" w:hAnsi="Arial" w:eastAsia="仿宋_GB2312" w:cs="Arial"/>
                <w:szCs w:val="21"/>
                <w:highlight w:val="none"/>
              </w:rPr>
              <w:t>50</w:t>
            </w:r>
          </w:p>
        </w:tc>
        <w:tc>
          <w:tcPr>
            <w:tcW w:w="562" w:type="pct"/>
            <w:noWrap w:val="0"/>
            <w:vAlign w:val="center"/>
          </w:tcPr>
          <w:p w14:paraId="2233B57F">
            <w:pPr>
              <w:jc w:val="center"/>
              <w:rPr>
                <w:rFonts w:ascii="Arial" w:hAnsi="Arial" w:eastAsia="仿宋_GB2312" w:cs="Arial"/>
                <w:szCs w:val="21"/>
                <w:highlight w:val="none"/>
              </w:rPr>
            </w:pPr>
            <w:r>
              <w:rPr>
                <w:rFonts w:ascii="Arial" w:hAnsi="Arial" w:eastAsia="仿宋_GB2312" w:cs="Arial"/>
                <w:szCs w:val="21"/>
                <w:highlight w:val="none"/>
              </w:rPr>
              <w:t>50</w:t>
            </w:r>
          </w:p>
        </w:tc>
        <w:tc>
          <w:tcPr>
            <w:tcW w:w="562" w:type="pct"/>
            <w:noWrap w:val="0"/>
            <w:vAlign w:val="center"/>
          </w:tcPr>
          <w:p w14:paraId="3327109A">
            <w:pPr>
              <w:jc w:val="center"/>
              <w:rPr>
                <w:rFonts w:ascii="Arial" w:hAnsi="Arial" w:eastAsia="仿宋_GB2312" w:cs="Arial"/>
                <w:szCs w:val="21"/>
                <w:highlight w:val="none"/>
              </w:rPr>
            </w:pPr>
            <w:r>
              <w:rPr>
                <w:rFonts w:ascii="Arial" w:hAnsi="Arial" w:eastAsia="仿宋_GB2312" w:cs="Arial"/>
                <w:szCs w:val="21"/>
                <w:highlight w:val="none"/>
              </w:rPr>
              <w:t>60</w:t>
            </w:r>
          </w:p>
        </w:tc>
      </w:tr>
    </w:tbl>
    <w:p w14:paraId="63275868">
      <w:pPr>
        <w:tabs>
          <w:tab w:val="left" w:pos="1733"/>
        </w:tabs>
        <w:autoSpaceDE w:val="0"/>
        <w:autoSpaceDN w:val="0"/>
        <w:adjustRightInd w:val="0"/>
        <w:snapToGrid w:val="0"/>
        <w:spacing w:line="360" w:lineRule="auto"/>
        <w:jc w:val="left"/>
        <w:rPr>
          <w:rFonts w:hint="eastAsia" w:ascii="Arial" w:hAnsi="Arial"/>
          <w:sz w:val="24"/>
          <w:highlight w:val="none"/>
        </w:rPr>
      </w:pPr>
    </w:p>
    <w:p w14:paraId="6B42D286">
      <w:pPr>
        <w:tabs>
          <w:tab w:val="left" w:pos="1733"/>
        </w:tabs>
        <w:autoSpaceDE w:val="0"/>
        <w:autoSpaceDN w:val="0"/>
        <w:adjustRightInd w:val="0"/>
        <w:snapToGrid w:val="0"/>
        <w:spacing w:line="360" w:lineRule="auto"/>
        <w:jc w:val="left"/>
        <w:rPr>
          <w:rFonts w:hint="eastAsia" w:ascii="Arial" w:hAnsi="Arial"/>
          <w:sz w:val="24"/>
          <w:highlight w:val="none"/>
        </w:rPr>
      </w:pPr>
      <w:r>
        <w:rPr>
          <w:rFonts w:hint="eastAsia" w:ascii="Arial" w:hAnsi="Arial"/>
          <w:sz w:val="24"/>
          <w:highlight w:val="none"/>
          <w:lang w:val="en-US" w:eastAsia="zh-CN"/>
        </w:rPr>
        <w:t>2）</w:t>
      </w:r>
      <w:r>
        <w:rPr>
          <w:rFonts w:hint="eastAsia" w:ascii="Arial" w:hAnsi="Arial"/>
          <w:sz w:val="24"/>
          <w:highlight w:val="none"/>
        </w:rPr>
        <w:t>复合硅酸盐纤维卷毡（DN≥</w:t>
      </w:r>
      <w:r>
        <w:rPr>
          <w:rFonts w:hint="eastAsia" w:ascii="Arial" w:hAnsi="Arial"/>
          <w:sz w:val="24"/>
          <w:highlight w:val="none"/>
          <w:lang w:val="en-US" w:eastAsia="zh-CN"/>
        </w:rPr>
        <w:t>32</w:t>
      </w:r>
      <w:r>
        <w:rPr>
          <w:rFonts w:hint="eastAsia" w:ascii="Arial" w:hAnsi="Arial"/>
          <w:sz w:val="24"/>
          <w:highlight w:val="none"/>
        </w:rPr>
        <w:t>）</w:t>
      </w:r>
    </w:p>
    <w:tbl>
      <w:tblPr>
        <w:tblStyle w:val="1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746"/>
        <w:gridCol w:w="886"/>
        <w:gridCol w:w="1023"/>
        <w:gridCol w:w="1023"/>
        <w:gridCol w:w="1023"/>
        <w:gridCol w:w="1023"/>
        <w:gridCol w:w="1023"/>
        <w:gridCol w:w="1023"/>
        <w:gridCol w:w="1028"/>
      </w:tblGrid>
      <w:tr w14:paraId="45EC4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blHeader/>
        </w:trPr>
        <w:tc>
          <w:tcPr>
            <w:tcW w:w="891" w:type="pct"/>
            <w:noWrap w:val="0"/>
            <w:vAlign w:val="center"/>
          </w:tcPr>
          <w:p w14:paraId="1CF6AFDF">
            <w:pPr>
              <w:jc w:val="center"/>
              <w:rPr>
                <w:rFonts w:hint="default" w:ascii="Arial" w:hAnsi="Arial" w:cs="Arial"/>
                <w:szCs w:val="21"/>
                <w:highlight w:val="none"/>
              </w:rPr>
            </w:pPr>
            <w:r>
              <w:rPr>
                <w:rFonts w:hint="default" w:ascii="Arial" w:hAnsi="Arial" w:eastAsia="仿宋_GB2312" w:cs="Arial"/>
                <w:szCs w:val="21"/>
                <w:highlight w:val="none"/>
              </w:rPr>
              <w:t>操作温度 (℃)</w:t>
            </w:r>
          </w:p>
        </w:tc>
        <w:tc>
          <w:tcPr>
            <w:tcW w:w="452" w:type="pct"/>
            <w:noWrap w:val="0"/>
            <w:vAlign w:val="center"/>
          </w:tcPr>
          <w:p w14:paraId="050614A2">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3C561D67">
            <w:pPr>
              <w:jc w:val="center"/>
              <w:rPr>
                <w:rFonts w:hint="default" w:ascii="Arial" w:hAnsi="Arial" w:cs="Arial"/>
                <w:szCs w:val="21"/>
                <w:highlight w:val="none"/>
              </w:rPr>
            </w:pPr>
            <w:r>
              <w:rPr>
                <w:rFonts w:hint="default" w:ascii="Arial" w:hAnsi="Arial" w:cs="Arial"/>
                <w:szCs w:val="21"/>
                <w:highlight w:val="none"/>
              </w:rPr>
              <w:t>～150℃</w:t>
            </w:r>
          </w:p>
        </w:tc>
        <w:tc>
          <w:tcPr>
            <w:tcW w:w="522" w:type="pct"/>
            <w:noWrap w:val="0"/>
            <w:vAlign w:val="center"/>
          </w:tcPr>
          <w:p w14:paraId="06F3A467">
            <w:pPr>
              <w:jc w:val="center"/>
              <w:rPr>
                <w:rFonts w:hint="default" w:ascii="Arial" w:hAnsi="Arial" w:cs="Arial"/>
                <w:szCs w:val="21"/>
                <w:highlight w:val="none"/>
              </w:rPr>
            </w:pPr>
            <w:r>
              <w:rPr>
                <w:rFonts w:hint="default" w:ascii="Arial" w:hAnsi="Arial" w:cs="Arial"/>
                <w:szCs w:val="21"/>
                <w:highlight w:val="none"/>
              </w:rPr>
              <w:t>～250℃</w:t>
            </w:r>
          </w:p>
        </w:tc>
        <w:tc>
          <w:tcPr>
            <w:tcW w:w="522" w:type="pct"/>
            <w:noWrap w:val="0"/>
            <w:vAlign w:val="center"/>
          </w:tcPr>
          <w:p w14:paraId="7A9007D0">
            <w:pPr>
              <w:jc w:val="center"/>
              <w:rPr>
                <w:rFonts w:hint="default" w:ascii="Arial" w:hAnsi="Arial" w:cs="Arial"/>
                <w:szCs w:val="21"/>
                <w:highlight w:val="none"/>
              </w:rPr>
            </w:pPr>
            <w:r>
              <w:rPr>
                <w:rFonts w:hint="default" w:ascii="Arial" w:hAnsi="Arial" w:cs="Arial"/>
                <w:szCs w:val="21"/>
                <w:highlight w:val="none"/>
              </w:rPr>
              <w:t>～300℃</w:t>
            </w:r>
          </w:p>
        </w:tc>
        <w:tc>
          <w:tcPr>
            <w:tcW w:w="522" w:type="pct"/>
            <w:noWrap w:val="0"/>
            <w:vAlign w:val="center"/>
          </w:tcPr>
          <w:p w14:paraId="5913B537">
            <w:pPr>
              <w:jc w:val="center"/>
              <w:rPr>
                <w:rFonts w:hint="default" w:ascii="Arial" w:hAnsi="Arial" w:cs="Arial"/>
                <w:szCs w:val="21"/>
                <w:highlight w:val="none"/>
              </w:rPr>
            </w:pPr>
            <w:r>
              <w:rPr>
                <w:rFonts w:hint="default" w:ascii="Arial" w:hAnsi="Arial" w:cs="Arial"/>
                <w:szCs w:val="21"/>
                <w:highlight w:val="none"/>
              </w:rPr>
              <w:t>～350℃</w:t>
            </w:r>
          </w:p>
        </w:tc>
        <w:tc>
          <w:tcPr>
            <w:tcW w:w="522" w:type="pct"/>
            <w:noWrap w:val="0"/>
            <w:vAlign w:val="center"/>
          </w:tcPr>
          <w:p w14:paraId="268663C5">
            <w:pPr>
              <w:jc w:val="center"/>
              <w:rPr>
                <w:rFonts w:hint="default" w:ascii="Arial" w:hAnsi="Arial" w:cs="Arial"/>
                <w:szCs w:val="21"/>
                <w:highlight w:val="none"/>
              </w:rPr>
            </w:pPr>
            <w:r>
              <w:rPr>
                <w:rFonts w:hint="default" w:ascii="Arial" w:hAnsi="Arial" w:cs="Arial"/>
                <w:szCs w:val="21"/>
                <w:highlight w:val="none"/>
              </w:rPr>
              <w:t>～400℃</w:t>
            </w:r>
          </w:p>
        </w:tc>
        <w:tc>
          <w:tcPr>
            <w:tcW w:w="522" w:type="pct"/>
            <w:noWrap w:val="0"/>
            <w:vAlign w:val="center"/>
          </w:tcPr>
          <w:p w14:paraId="44C826BE">
            <w:pPr>
              <w:jc w:val="center"/>
              <w:rPr>
                <w:rFonts w:hint="default" w:ascii="Arial" w:hAnsi="Arial" w:cs="Arial"/>
                <w:szCs w:val="21"/>
                <w:highlight w:val="none"/>
              </w:rPr>
            </w:pPr>
            <w:r>
              <w:rPr>
                <w:rFonts w:hint="default" w:ascii="Arial" w:hAnsi="Arial" w:cs="Arial"/>
                <w:szCs w:val="21"/>
                <w:highlight w:val="none"/>
              </w:rPr>
              <w:t>～450℃</w:t>
            </w:r>
          </w:p>
        </w:tc>
        <w:tc>
          <w:tcPr>
            <w:tcW w:w="522" w:type="pct"/>
            <w:noWrap w:val="0"/>
            <w:vAlign w:val="center"/>
          </w:tcPr>
          <w:p w14:paraId="5C2CBF7B">
            <w:pPr>
              <w:jc w:val="center"/>
              <w:rPr>
                <w:rFonts w:hint="default" w:ascii="Arial" w:hAnsi="Arial" w:cs="Arial"/>
                <w:szCs w:val="21"/>
                <w:highlight w:val="none"/>
              </w:rPr>
            </w:pPr>
            <w:r>
              <w:rPr>
                <w:rFonts w:hint="default" w:ascii="Arial" w:hAnsi="Arial" w:cs="Arial"/>
                <w:szCs w:val="21"/>
                <w:highlight w:val="none"/>
              </w:rPr>
              <w:t>～500℃</w:t>
            </w:r>
          </w:p>
        </w:tc>
      </w:tr>
      <w:tr w14:paraId="7C157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030C50F8">
            <w:pPr>
              <w:jc w:val="center"/>
              <w:rPr>
                <w:rFonts w:hint="default" w:ascii="Arial" w:hAnsi="Arial" w:eastAsia="仿宋_GB2312" w:cs="Arial"/>
                <w:szCs w:val="21"/>
                <w:highlight w:val="none"/>
              </w:rPr>
            </w:pPr>
            <w:r>
              <w:rPr>
                <w:rFonts w:hint="default" w:ascii="Arial" w:hAnsi="Arial" w:eastAsia="宋体" w:cs="Arial"/>
                <w:sz w:val="21"/>
                <w:szCs w:val="21"/>
                <w:highlight w:val="none"/>
              </w:rPr>
              <w:t>DN(mm)</w:t>
            </w:r>
          </w:p>
        </w:tc>
        <w:tc>
          <w:tcPr>
            <w:tcW w:w="4108" w:type="pct"/>
            <w:gridSpan w:val="8"/>
            <w:noWrap w:val="0"/>
            <w:vAlign w:val="center"/>
          </w:tcPr>
          <w:p w14:paraId="199F8A0F">
            <w:pPr>
              <w:jc w:val="center"/>
              <w:rPr>
                <w:rFonts w:hint="default" w:ascii="Arial" w:hAnsi="Arial" w:eastAsia="仿宋_GB2312" w:cs="Arial"/>
                <w:szCs w:val="21"/>
                <w:highlight w:val="none"/>
              </w:rPr>
            </w:pPr>
            <w:r>
              <w:rPr>
                <w:rFonts w:hint="default" w:ascii="Arial" w:hAnsi="Arial" w:eastAsia="宋体" w:cs="Arial"/>
                <w:sz w:val="21"/>
                <w:szCs w:val="21"/>
                <w:highlight w:val="none"/>
              </w:rPr>
              <w:t>厚度（mm）</w:t>
            </w:r>
          </w:p>
        </w:tc>
      </w:tr>
      <w:tr w14:paraId="75CC5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91" w:type="pct"/>
            <w:noWrap w:val="0"/>
            <w:vAlign w:val="center"/>
          </w:tcPr>
          <w:p w14:paraId="7F900B2D">
            <w:pPr>
              <w:jc w:val="center"/>
              <w:rPr>
                <w:rFonts w:hint="default" w:ascii="Arial" w:hAnsi="Arial" w:eastAsia="宋体" w:cs="Arial"/>
                <w:kern w:val="2"/>
                <w:sz w:val="21"/>
                <w:szCs w:val="21"/>
                <w:highlight w:val="none"/>
                <w:lang w:val="en-US" w:eastAsia="zh-CN" w:bidi="ar-SA"/>
              </w:rPr>
            </w:pPr>
            <w:r>
              <w:rPr>
                <w:rFonts w:hint="default" w:ascii="Arial" w:hAnsi="Arial" w:cs="Arial"/>
                <w:szCs w:val="21"/>
                <w:highlight w:val="none"/>
                <w:lang w:val="en-US" w:eastAsia="zh-CN"/>
              </w:rPr>
              <w:t>32</w:t>
            </w:r>
          </w:p>
        </w:tc>
        <w:tc>
          <w:tcPr>
            <w:tcW w:w="452" w:type="pct"/>
            <w:noWrap w:val="0"/>
            <w:vAlign w:val="center"/>
          </w:tcPr>
          <w:p w14:paraId="26A8180E">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30</w:t>
            </w:r>
          </w:p>
        </w:tc>
        <w:tc>
          <w:tcPr>
            <w:tcW w:w="522" w:type="pct"/>
            <w:noWrap w:val="0"/>
            <w:vAlign w:val="center"/>
          </w:tcPr>
          <w:p w14:paraId="1F7D3035">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40</w:t>
            </w:r>
          </w:p>
        </w:tc>
        <w:tc>
          <w:tcPr>
            <w:tcW w:w="522" w:type="pct"/>
            <w:noWrap w:val="0"/>
            <w:vAlign w:val="center"/>
          </w:tcPr>
          <w:p w14:paraId="4C21AC3D">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50</w:t>
            </w:r>
          </w:p>
        </w:tc>
        <w:tc>
          <w:tcPr>
            <w:tcW w:w="522" w:type="pct"/>
            <w:noWrap w:val="0"/>
            <w:vAlign w:val="center"/>
          </w:tcPr>
          <w:p w14:paraId="4AACA69E">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50</w:t>
            </w:r>
          </w:p>
        </w:tc>
        <w:tc>
          <w:tcPr>
            <w:tcW w:w="522" w:type="pct"/>
            <w:noWrap w:val="0"/>
            <w:vAlign w:val="center"/>
          </w:tcPr>
          <w:p w14:paraId="7A2CC21D">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50</w:t>
            </w:r>
          </w:p>
        </w:tc>
        <w:tc>
          <w:tcPr>
            <w:tcW w:w="522" w:type="pct"/>
            <w:noWrap w:val="0"/>
            <w:vAlign w:val="center"/>
          </w:tcPr>
          <w:p w14:paraId="3342A6D5">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60</w:t>
            </w:r>
          </w:p>
        </w:tc>
        <w:tc>
          <w:tcPr>
            <w:tcW w:w="522" w:type="pct"/>
            <w:noWrap w:val="0"/>
            <w:vAlign w:val="center"/>
          </w:tcPr>
          <w:p w14:paraId="517AAA43">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60</w:t>
            </w:r>
          </w:p>
        </w:tc>
        <w:tc>
          <w:tcPr>
            <w:tcW w:w="522" w:type="pct"/>
            <w:noWrap w:val="0"/>
            <w:vAlign w:val="center"/>
          </w:tcPr>
          <w:p w14:paraId="5A6EC2DC">
            <w:pPr>
              <w:jc w:val="center"/>
              <w:rPr>
                <w:rFonts w:hint="default" w:ascii="Arial" w:hAnsi="Arial" w:cs="Arial"/>
                <w:kern w:val="2"/>
                <w:sz w:val="21"/>
                <w:szCs w:val="21"/>
                <w:highlight w:val="none"/>
                <w:lang w:val="en-US" w:eastAsia="zh-CN" w:bidi="ar-SA"/>
              </w:rPr>
            </w:pPr>
            <w:r>
              <w:rPr>
                <w:rFonts w:hint="default" w:ascii="Arial" w:hAnsi="Arial" w:cs="Arial"/>
                <w:szCs w:val="21"/>
                <w:highlight w:val="none"/>
              </w:rPr>
              <w:t>70</w:t>
            </w:r>
          </w:p>
        </w:tc>
      </w:tr>
      <w:tr w14:paraId="0B19B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2A1075BA">
            <w:pPr>
              <w:jc w:val="center"/>
              <w:rPr>
                <w:rFonts w:hint="default" w:ascii="Arial" w:hAnsi="Arial" w:cs="Arial"/>
                <w:szCs w:val="21"/>
                <w:highlight w:val="none"/>
              </w:rPr>
            </w:pPr>
            <w:r>
              <w:rPr>
                <w:rFonts w:hint="default" w:ascii="Arial" w:hAnsi="Arial" w:cs="Arial"/>
                <w:szCs w:val="21"/>
                <w:highlight w:val="none"/>
              </w:rPr>
              <w:t>40</w:t>
            </w:r>
          </w:p>
        </w:tc>
        <w:tc>
          <w:tcPr>
            <w:tcW w:w="452" w:type="pct"/>
            <w:noWrap w:val="0"/>
            <w:vAlign w:val="center"/>
          </w:tcPr>
          <w:p w14:paraId="13FD4D48">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517C52DF">
            <w:pPr>
              <w:jc w:val="center"/>
              <w:rPr>
                <w:rFonts w:hint="default" w:ascii="Arial" w:hAnsi="Arial" w:cs="Arial"/>
                <w:szCs w:val="21"/>
                <w:highlight w:val="none"/>
              </w:rPr>
            </w:pPr>
            <w:r>
              <w:rPr>
                <w:rFonts w:hint="default" w:ascii="Arial" w:hAnsi="Arial" w:cs="Arial"/>
                <w:szCs w:val="21"/>
                <w:highlight w:val="none"/>
              </w:rPr>
              <w:t>40</w:t>
            </w:r>
          </w:p>
        </w:tc>
        <w:tc>
          <w:tcPr>
            <w:tcW w:w="522" w:type="pct"/>
            <w:noWrap w:val="0"/>
            <w:vAlign w:val="center"/>
          </w:tcPr>
          <w:p w14:paraId="196429E8">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12473FC3">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19149495">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0BA1CF5B">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0A00A7CA">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1B73A21C">
            <w:pPr>
              <w:jc w:val="center"/>
              <w:rPr>
                <w:rFonts w:hint="default" w:ascii="Arial" w:hAnsi="Arial" w:cs="Arial"/>
                <w:szCs w:val="21"/>
                <w:highlight w:val="none"/>
              </w:rPr>
            </w:pPr>
            <w:r>
              <w:rPr>
                <w:rFonts w:hint="default" w:ascii="Arial" w:hAnsi="Arial" w:cs="Arial"/>
                <w:szCs w:val="21"/>
                <w:highlight w:val="none"/>
              </w:rPr>
              <w:t>70</w:t>
            </w:r>
          </w:p>
        </w:tc>
      </w:tr>
      <w:tr w14:paraId="27823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59C1963F">
            <w:pPr>
              <w:jc w:val="center"/>
              <w:rPr>
                <w:rFonts w:hint="default" w:ascii="Arial" w:hAnsi="Arial" w:cs="Arial"/>
                <w:szCs w:val="21"/>
                <w:highlight w:val="none"/>
              </w:rPr>
            </w:pPr>
            <w:r>
              <w:rPr>
                <w:rFonts w:hint="default" w:ascii="Arial" w:hAnsi="Arial" w:cs="Arial"/>
                <w:szCs w:val="21"/>
                <w:highlight w:val="none"/>
              </w:rPr>
              <w:t>50</w:t>
            </w:r>
          </w:p>
        </w:tc>
        <w:tc>
          <w:tcPr>
            <w:tcW w:w="452" w:type="pct"/>
            <w:noWrap w:val="0"/>
            <w:vAlign w:val="center"/>
          </w:tcPr>
          <w:p w14:paraId="5018C607">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5FFB093A">
            <w:pPr>
              <w:jc w:val="center"/>
              <w:rPr>
                <w:rFonts w:hint="default" w:ascii="Arial" w:hAnsi="Arial" w:cs="Arial"/>
                <w:szCs w:val="21"/>
                <w:highlight w:val="none"/>
              </w:rPr>
            </w:pPr>
            <w:r>
              <w:rPr>
                <w:rFonts w:hint="default" w:ascii="Arial" w:hAnsi="Arial" w:cs="Arial"/>
                <w:szCs w:val="21"/>
                <w:highlight w:val="none"/>
              </w:rPr>
              <w:t>40</w:t>
            </w:r>
          </w:p>
        </w:tc>
        <w:tc>
          <w:tcPr>
            <w:tcW w:w="522" w:type="pct"/>
            <w:noWrap w:val="0"/>
            <w:vAlign w:val="center"/>
          </w:tcPr>
          <w:p w14:paraId="266DFC29">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0C46E608">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77B8CC3B">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7EA223D6">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1132168F">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09E346FC">
            <w:pPr>
              <w:jc w:val="center"/>
              <w:rPr>
                <w:rFonts w:hint="default" w:ascii="Arial" w:hAnsi="Arial" w:cs="Arial"/>
                <w:szCs w:val="21"/>
                <w:highlight w:val="none"/>
              </w:rPr>
            </w:pPr>
            <w:r>
              <w:rPr>
                <w:rFonts w:hint="default" w:ascii="Arial" w:hAnsi="Arial" w:cs="Arial"/>
                <w:szCs w:val="21"/>
                <w:highlight w:val="none"/>
              </w:rPr>
              <w:t>70</w:t>
            </w:r>
          </w:p>
        </w:tc>
      </w:tr>
      <w:tr w14:paraId="2E51D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79D409EC">
            <w:pPr>
              <w:jc w:val="center"/>
              <w:rPr>
                <w:rFonts w:hint="default" w:ascii="Arial" w:hAnsi="Arial" w:cs="Arial"/>
                <w:szCs w:val="21"/>
                <w:highlight w:val="none"/>
              </w:rPr>
            </w:pPr>
            <w:r>
              <w:rPr>
                <w:rFonts w:hint="default" w:ascii="Arial" w:hAnsi="Arial" w:cs="Arial"/>
                <w:szCs w:val="21"/>
                <w:highlight w:val="none"/>
              </w:rPr>
              <w:t>80</w:t>
            </w:r>
          </w:p>
        </w:tc>
        <w:tc>
          <w:tcPr>
            <w:tcW w:w="452" w:type="pct"/>
            <w:noWrap w:val="0"/>
            <w:vAlign w:val="center"/>
          </w:tcPr>
          <w:p w14:paraId="1FBD8179">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10DC87B3">
            <w:pPr>
              <w:jc w:val="center"/>
              <w:rPr>
                <w:rFonts w:hint="default" w:ascii="Arial" w:hAnsi="Arial" w:cs="Arial"/>
                <w:szCs w:val="21"/>
                <w:highlight w:val="none"/>
              </w:rPr>
            </w:pPr>
            <w:r>
              <w:rPr>
                <w:rFonts w:hint="default" w:ascii="Arial" w:hAnsi="Arial" w:cs="Arial"/>
                <w:szCs w:val="21"/>
                <w:highlight w:val="none"/>
              </w:rPr>
              <w:t>40</w:t>
            </w:r>
          </w:p>
        </w:tc>
        <w:tc>
          <w:tcPr>
            <w:tcW w:w="522" w:type="pct"/>
            <w:noWrap w:val="0"/>
            <w:vAlign w:val="center"/>
          </w:tcPr>
          <w:p w14:paraId="66CF843C">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035D4CBB">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1D1AD9C8">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0AF8235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0E02B060">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3C2B66CD">
            <w:pPr>
              <w:jc w:val="center"/>
              <w:rPr>
                <w:rFonts w:hint="default" w:ascii="Arial" w:hAnsi="Arial" w:cs="Arial"/>
                <w:szCs w:val="21"/>
                <w:highlight w:val="none"/>
              </w:rPr>
            </w:pPr>
            <w:r>
              <w:rPr>
                <w:rFonts w:hint="default" w:ascii="Arial" w:hAnsi="Arial" w:cs="Arial"/>
                <w:szCs w:val="21"/>
                <w:highlight w:val="none"/>
              </w:rPr>
              <w:t>80</w:t>
            </w:r>
          </w:p>
        </w:tc>
      </w:tr>
      <w:tr w14:paraId="27A03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53E2C897">
            <w:pPr>
              <w:jc w:val="center"/>
              <w:rPr>
                <w:rFonts w:hint="default" w:ascii="Arial" w:hAnsi="Arial" w:cs="Arial"/>
                <w:szCs w:val="21"/>
                <w:highlight w:val="none"/>
              </w:rPr>
            </w:pPr>
            <w:r>
              <w:rPr>
                <w:rFonts w:hint="default" w:ascii="Arial" w:hAnsi="Arial" w:cs="Arial"/>
                <w:szCs w:val="21"/>
                <w:highlight w:val="none"/>
              </w:rPr>
              <w:t>100</w:t>
            </w:r>
          </w:p>
        </w:tc>
        <w:tc>
          <w:tcPr>
            <w:tcW w:w="452" w:type="pct"/>
            <w:noWrap w:val="0"/>
            <w:vAlign w:val="center"/>
          </w:tcPr>
          <w:p w14:paraId="09D814DC">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430E1DF1">
            <w:pPr>
              <w:jc w:val="center"/>
              <w:rPr>
                <w:rFonts w:hint="default" w:ascii="Arial" w:hAnsi="Arial" w:cs="Arial"/>
                <w:szCs w:val="21"/>
                <w:highlight w:val="none"/>
              </w:rPr>
            </w:pPr>
            <w:r>
              <w:rPr>
                <w:rFonts w:hint="default" w:ascii="Arial" w:hAnsi="Arial" w:cs="Arial"/>
                <w:szCs w:val="21"/>
                <w:highlight w:val="none"/>
              </w:rPr>
              <w:t>40</w:t>
            </w:r>
          </w:p>
        </w:tc>
        <w:tc>
          <w:tcPr>
            <w:tcW w:w="522" w:type="pct"/>
            <w:noWrap w:val="0"/>
            <w:vAlign w:val="center"/>
          </w:tcPr>
          <w:p w14:paraId="082A9E66">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54A5D1E5">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55AE2CA4">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777A58C0">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4FE3AC19">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0ED64CAB">
            <w:pPr>
              <w:jc w:val="center"/>
              <w:rPr>
                <w:rFonts w:hint="default" w:ascii="Arial" w:hAnsi="Arial" w:cs="Arial"/>
                <w:szCs w:val="21"/>
                <w:highlight w:val="none"/>
              </w:rPr>
            </w:pPr>
            <w:r>
              <w:rPr>
                <w:rFonts w:hint="default" w:ascii="Arial" w:hAnsi="Arial" w:cs="Arial"/>
                <w:szCs w:val="21"/>
                <w:highlight w:val="none"/>
              </w:rPr>
              <w:t>80</w:t>
            </w:r>
          </w:p>
        </w:tc>
      </w:tr>
      <w:tr w14:paraId="571FB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60F186AA">
            <w:pPr>
              <w:jc w:val="center"/>
              <w:rPr>
                <w:rFonts w:hint="default" w:ascii="Arial" w:hAnsi="Arial" w:cs="Arial"/>
                <w:szCs w:val="21"/>
                <w:highlight w:val="none"/>
              </w:rPr>
            </w:pPr>
            <w:r>
              <w:rPr>
                <w:rFonts w:hint="default" w:ascii="Arial" w:hAnsi="Arial" w:cs="Arial"/>
                <w:szCs w:val="21"/>
                <w:highlight w:val="none"/>
              </w:rPr>
              <w:t>150</w:t>
            </w:r>
          </w:p>
        </w:tc>
        <w:tc>
          <w:tcPr>
            <w:tcW w:w="452" w:type="pct"/>
            <w:noWrap w:val="0"/>
            <w:vAlign w:val="center"/>
          </w:tcPr>
          <w:p w14:paraId="5D41F495">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61D5CA82">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60904E05">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0B6AAB0C">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685605E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722D6A61">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153F7C75">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767A836B">
            <w:pPr>
              <w:jc w:val="center"/>
              <w:rPr>
                <w:rFonts w:hint="default" w:ascii="Arial" w:hAnsi="Arial" w:cs="Arial"/>
                <w:szCs w:val="21"/>
                <w:highlight w:val="none"/>
              </w:rPr>
            </w:pPr>
            <w:r>
              <w:rPr>
                <w:rFonts w:hint="default" w:ascii="Arial" w:hAnsi="Arial" w:cs="Arial"/>
                <w:szCs w:val="21"/>
                <w:highlight w:val="none"/>
              </w:rPr>
              <w:t>90</w:t>
            </w:r>
          </w:p>
        </w:tc>
      </w:tr>
      <w:tr w14:paraId="2E1F9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3D1E6961">
            <w:pPr>
              <w:jc w:val="center"/>
              <w:rPr>
                <w:rFonts w:hint="default" w:ascii="Arial" w:hAnsi="Arial" w:cs="Arial"/>
                <w:szCs w:val="21"/>
                <w:highlight w:val="none"/>
              </w:rPr>
            </w:pPr>
            <w:r>
              <w:rPr>
                <w:rFonts w:hint="default" w:ascii="Arial" w:hAnsi="Arial" w:cs="Arial"/>
                <w:szCs w:val="21"/>
                <w:highlight w:val="none"/>
              </w:rPr>
              <w:t>200</w:t>
            </w:r>
          </w:p>
        </w:tc>
        <w:tc>
          <w:tcPr>
            <w:tcW w:w="452" w:type="pct"/>
            <w:noWrap w:val="0"/>
            <w:vAlign w:val="center"/>
          </w:tcPr>
          <w:p w14:paraId="1DBF3BE9">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4DEE380C">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2DCB2F4F">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15DF509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5A3DF47F">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45CFED3D">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437DEEEF">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37194D45">
            <w:pPr>
              <w:jc w:val="center"/>
              <w:rPr>
                <w:rFonts w:hint="default" w:ascii="Arial" w:hAnsi="Arial" w:cs="Arial"/>
                <w:szCs w:val="21"/>
                <w:highlight w:val="none"/>
              </w:rPr>
            </w:pPr>
            <w:r>
              <w:rPr>
                <w:rFonts w:hint="default" w:ascii="Arial" w:hAnsi="Arial" w:cs="Arial"/>
                <w:szCs w:val="21"/>
                <w:highlight w:val="none"/>
              </w:rPr>
              <w:t>90</w:t>
            </w:r>
          </w:p>
        </w:tc>
      </w:tr>
      <w:tr w14:paraId="0C5E9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6D8AA9FF">
            <w:pPr>
              <w:jc w:val="center"/>
              <w:rPr>
                <w:rFonts w:hint="default" w:ascii="Arial" w:hAnsi="Arial" w:cs="Arial"/>
                <w:szCs w:val="21"/>
                <w:highlight w:val="none"/>
              </w:rPr>
            </w:pPr>
            <w:r>
              <w:rPr>
                <w:rFonts w:hint="default" w:ascii="Arial" w:hAnsi="Arial" w:cs="Arial"/>
                <w:szCs w:val="21"/>
                <w:highlight w:val="none"/>
              </w:rPr>
              <w:t>250</w:t>
            </w:r>
          </w:p>
        </w:tc>
        <w:tc>
          <w:tcPr>
            <w:tcW w:w="452" w:type="pct"/>
            <w:noWrap w:val="0"/>
            <w:vAlign w:val="center"/>
          </w:tcPr>
          <w:p w14:paraId="4AD1784D">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3F489B7E">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31B31DF5">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7D84D603">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7D01EA0B">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53B7BD68">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DCB30C4">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4F85EF71">
            <w:pPr>
              <w:jc w:val="center"/>
              <w:rPr>
                <w:rFonts w:hint="default" w:ascii="Arial" w:hAnsi="Arial" w:cs="Arial"/>
                <w:szCs w:val="21"/>
                <w:highlight w:val="none"/>
              </w:rPr>
            </w:pPr>
            <w:r>
              <w:rPr>
                <w:rFonts w:hint="default" w:ascii="Arial" w:hAnsi="Arial" w:cs="Arial"/>
                <w:szCs w:val="21"/>
                <w:highlight w:val="none"/>
              </w:rPr>
              <w:t>90</w:t>
            </w:r>
          </w:p>
        </w:tc>
      </w:tr>
      <w:tr w14:paraId="79B9E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6A406ED3">
            <w:pPr>
              <w:jc w:val="center"/>
              <w:rPr>
                <w:rFonts w:hint="default" w:ascii="Arial" w:hAnsi="Arial" w:cs="Arial"/>
                <w:szCs w:val="21"/>
                <w:highlight w:val="none"/>
              </w:rPr>
            </w:pPr>
            <w:r>
              <w:rPr>
                <w:rFonts w:hint="default" w:ascii="Arial" w:hAnsi="Arial" w:cs="Arial"/>
                <w:szCs w:val="21"/>
                <w:highlight w:val="none"/>
              </w:rPr>
              <w:t>300</w:t>
            </w:r>
          </w:p>
        </w:tc>
        <w:tc>
          <w:tcPr>
            <w:tcW w:w="452" w:type="pct"/>
            <w:noWrap w:val="0"/>
            <w:vAlign w:val="center"/>
          </w:tcPr>
          <w:p w14:paraId="00CE6EF4">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70C424EA">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4D6A56D1">
            <w:pPr>
              <w:jc w:val="center"/>
              <w:rPr>
                <w:rFonts w:hint="default" w:ascii="Arial" w:hAnsi="Arial" w:cs="Arial"/>
                <w:szCs w:val="21"/>
                <w:highlight w:val="none"/>
              </w:rPr>
            </w:pPr>
            <w:r>
              <w:rPr>
                <w:rFonts w:hint="default" w:ascii="Arial" w:hAnsi="Arial" w:cs="Arial"/>
                <w:szCs w:val="21"/>
                <w:highlight w:val="none"/>
              </w:rPr>
              <w:t>60</w:t>
            </w:r>
          </w:p>
        </w:tc>
        <w:tc>
          <w:tcPr>
            <w:tcW w:w="522" w:type="pct"/>
            <w:noWrap w:val="0"/>
            <w:vAlign w:val="center"/>
          </w:tcPr>
          <w:p w14:paraId="32C131D3">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3A1F8FEF">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2FF4CE05">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10938FA">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498B8844">
            <w:pPr>
              <w:jc w:val="center"/>
              <w:rPr>
                <w:rFonts w:hint="default" w:ascii="Arial" w:hAnsi="Arial" w:cs="Arial"/>
                <w:szCs w:val="21"/>
                <w:highlight w:val="none"/>
              </w:rPr>
            </w:pPr>
            <w:r>
              <w:rPr>
                <w:rFonts w:hint="default" w:ascii="Arial" w:hAnsi="Arial" w:cs="Arial"/>
                <w:szCs w:val="21"/>
                <w:highlight w:val="none"/>
              </w:rPr>
              <w:t>100</w:t>
            </w:r>
          </w:p>
        </w:tc>
      </w:tr>
      <w:tr w14:paraId="360B2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1F656602">
            <w:pPr>
              <w:jc w:val="center"/>
              <w:rPr>
                <w:rFonts w:hint="default" w:ascii="Arial" w:hAnsi="Arial" w:cs="Arial"/>
                <w:szCs w:val="21"/>
                <w:highlight w:val="none"/>
              </w:rPr>
            </w:pPr>
            <w:r>
              <w:rPr>
                <w:rFonts w:hint="default" w:ascii="Arial" w:hAnsi="Arial" w:cs="Arial"/>
                <w:szCs w:val="21"/>
                <w:highlight w:val="none"/>
              </w:rPr>
              <w:t>350</w:t>
            </w:r>
          </w:p>
        </w:tc>
        <w:tc>
          <w:tcPr>
            <w:tcW w:w="452" w:type="pct"/>
            <w:noWrap w:val="0"/>
            <w:vAlign w:val="center"/>
          </w:tcPr>
          <w:p w14:paraId="5D74D060">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1847049F">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3D1DABC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59389D88">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0C7E1D6C">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54BF1816">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1E128C27">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44549A1F">
            <w:pPr>
              <w:jc w:val="center"/>
              <w:rPr>
                <w:rFonts w:hint="default" w:ascii="Arial" w:hAnsi="Arial" w:cs="Arial"/>
                <w:szCs w:val="21"/>
                <w:highlight w:val="none"/>
              </w:rPr>
            </w:pPr>
            <w:r>
              <w:rPr>
                <w:rFonts w:hint="default" w:ascii="Arial" w:hAnsi="Arial" w:cs="Arial"/>
                <w:szCs w:val="21"/>
                <w:highlight w:val="none"/>
              </w:rPr>
              <w:t>100</w:t>
            </w:r>
          </w:p>
        </w:tc>
      </w:tr>
      <w:tr w14:paraId="37180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3CA8492F">
            <w:pPr>
              <w:jc w:val="center"/>
              <w:rPr>
                <w:rFonts w:hint="default" w:ascii="Arial" w:hAnsi="Arial" w:cs="Arial"/>
                <w:szCs w:val="21"/>
                <w:highlight w:val="none"/>
              </w:rPr>
            </w:pPr>
            <w:r>
              <w:rPr>
                <w:rFonts w:hint="default" w:ascii="Arial" w:hAnsi="Arial" w:cs="Arial"/>
                <w:szCs w:val="21"/>
                <w:highlight w:val="none"/>
              </w:rPr>
              <w:t>400</w:t>
            </w:r>
          </w:p>
        </w:tc>
        <w:tc>
          <w:tcPr>
            <w:tcW w:w="452" w:type="pct"/>
            <w:noWrap w:val="0"/>
            <w:vAlign w:val="center"/>
          </w:tcPr>
          <w:p w14:paraId="0680E4AD">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70EB69DB">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3985F241">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2BE37C68">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71C7EAD0">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4ED19EF">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7F5AE00B">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464C7B4A">
            <w:pPr>
              <w:jc w:val="center"/>
              <w:rPr>
                <w:rFonts w:hint="default" w:ascii="Arial" w:hAnsi="Arial" w:cs="Arial"/>
                <w:szCs w:val="21"/>
                <w:highlight w:val="none"/>
              </w:rPr>
            </w:pPr>
            <w:r>
              <w:rPr>
                <w:rFonts w:hint="default" w:ascii="Arial" w:hAnsi="Arial" w:cs="Arial"/>
                <w:szCs w:val="21"/>
                <w:highlight w:val="none"/>
              </w:rPr>
              <w:t>100</w:t>
            </w:r>
          </w:p>
        </w:tc>
      </w:tr>
      <w:tr w14:paraId="33A6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589BAF6F">
            <w:pPr>
              <w:jc w:val="center"/>
              <w:rPr>
                <w:rFonts w:hint="default" w:ascii="Arial" w:hAnsi="Arial" w:cs="Arial"/>
                <w:szCs w:val="21"/>
                <w:highlight w:val="none"/>
              </w:rPr>
            </w:pPr>
            <w:r>
              <w:rPr>
                <w:rFonts w:hint="default" w:ascii="Arial" w:hAnsi="Arial" w:cs="Arial"/>
                <w:szCs w:val="21"/>
                <w:highlight w:val="none"/>
              </w:rPr>
              <w:t>450</w:t>
            </w:r>
          </w:p>
        </w:tc>
        <w:tc>
          <w:tcPr>
            <w:tcW w:w="452" w:type="pct"/>
            <w:noWrap w:val="0"/>
            <w:vAlign w:val="center"/>
          </w:tcPr>
          <w:p w14:paraId="68054DDC">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0C20538C">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013A1427">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332EBC2E">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6D721B97">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2B70845">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7903E608">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2E3BC309">
            <w:pPr>
              <w:jc w:val="center"/>
              <w:rPr>
                <w:rFonts w:hint="default" w:ascii="Arial" w:hAnsi="Arial" w:cs="Arial"/>
                <w:szCs w:val="21"/>
                <w:highlight w:val="none"/>
              </w:rPr>
            </w:pPr>
            <w:r>
              <w:rPr>
                <w:rFonts w:hint="default" w:ascii="Arial" w:hAnsi="Arial" w:cs="Arial"/>
                <w:szCs w:val="21"/>
                <w:highlight w:val="none"/>
              </w:rPr>
              <w:t>100</w:t>
            </w:r>
          </w:p>
        </w:tc>
      </w:tr>
      <w:tr w14:paraId="1F7FA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4F10E8CE">
            <w:pPr>
              <w:jc w:val="center"/>
              <w:rPr>
                <w:rFonts w:hint="default" w:ascii="Arial" w:hAnsi="Arial" w:cs="Arial"/>
                <w:szCs w:val="21"/>
                <w:highlight w:val="none"/>
              </w:rPr>
            </w:pPr>
            <w:r>
              <w:rPr>
                <w:rFonts w:hint="default" w:ascii="Arial" w:hAnsi="Arial" w:cs="Arial"/>
                <w:szCs w:val="21"/>
                <w:highlight w:val="none"/>
              </w:rPr>
              <w:t>500</w:t>
            </w:r>
          </w:p>
        </w:tc>
        <w:tc>
          <w:tcPr>
            <w:tcW w:w="452" w:type="pct"/>
            <w:noWrap w:val="0"/>
            <w:vAlign w:val="center"/>
          </w:tcPr>
          <w:p w14:paraId="2F8D8C3E">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73F66716">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101555EF">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12B1D407">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005E556D">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68D2138A">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07D3FC0D">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341E330A">
            <w:pPr>
              <w:jc w:val="center"/>
              <w:rPr>
                <w:rFonts w:hint="default" w:ascii="Arial" w:hAnsi="Arial" w:cs="Arial"/>
                <w:szCs w:val="21"/>
                <w:highlight w:val="none"/>
              </w:rPr>
            </w:pPr>
            <w:r>
              <w:rPr>
                <w:rFonts w:hint="default" w:ascii="Arial" w:hAnsi="Arial" w:cs="Arial"/>
                <w:szCs w:val="21"/>
                <w:highlight w:val="none"/>
              </w:rPr>
              <w:t>100</w:t>
            </w:r>
          </w:p>
        </w:tc>
      </w:tr>
      <w:tr w14:paraId="237FD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285A759A">
            <w:pPr>
              <w:jc w:val="center"/>
              <w:rPr>
                <w:rFonts w:hint="default" w:ascii="Arial" w:hAnsi="Arial" w:cs="Arial"/>
                <w:szCs w:val="21"/>
                <w:highlight w:val="none"/>
              </w:rPr>
            </w:pPr>
            <w:r>
              <w:rPr>
                <w:rFonts w:hint="default" w:ascii="Arial" w:hAnsi="Arial" w:cs="Arial"/>
                <w:szCs w:val="21"/>
                <w:highlight w:val="none"/>
              </w:rPr>
              <w:t>600</w:t>
            </w:r>
          </w:p>
        </w:tc>
        <w:tc>
          <w:tcPr>
            <w:tcW w:w="452" w:type="pct"/>
            <w:noWrap w:val="0"/>
            <w:vAlign w:val="center"/>
          </w:tcPr>
          <w:p w14:paraId="5F458425">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7854E416">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6FB28FF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7A726591">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4A836A84">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2A1E2EF0">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78930BE3">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5E794B0F">
            <w:pPr>
              <w:jc w:val="center"/>
              <w:rPr>
                <w:rFonts w:hint="default" w:ascii="Arial" w:hAnsi="Arial" w:cs="Arial"/>
                <w:szCs w:val="21"/>
                <w:highlight w:val="none"/>
              </w:rPr>
            </w:pPr>
            <w:r>
              <w:rPr>
                <w:rFonts w:hint="default" w:ascii="Arial" w:hAnsi="Arial" w:cs="Arial"/>
                <w:szCs w:val="21"/>
                <w:highlight w:val="none"/>
              </w:rPr>
              <w:t>110</w:t>
            </w:r>
          </w:p>
        </w:tc>
      </w:tr>
      <w:tr w14:paraId="58EDA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508C5BE5">
            <w:pPr>
              <w:jc w:val="center"/>
              <w:rPr>
                <w:rFonts w:hint="default" w:ascii="Arial" w:hAnsi="Arial" w:cs="Arial"/>
                <w:szCs w:val="21"/>
                <w:highlight w:val="none"/>
              </w:rPr>
            </w:pPr>
            <w:r>
              <w:rPr>
                <w:rFonts w:hint="default" w:ascii="Arial" w:hAnsi="Arial" w:cs="Arial"/>
                <w:szCs w:val="21"/>
                <w:highlight w:val="none"/>
              </w:rPr>
              <w:t>700</w:t>
            </w:r>
          </w:p>
        </w:tc>
        <w:tc>
          <w:tcPr>
            <w:tcW w:w="452" w:type="pct"/>
            <w:noWrap w:val="0"/>
            <w:vAlign w:val="center"/>
          </w:tcPr>
          <w:p w14:paraId="63677F70">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24B95BE6">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5E1400DF">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61AD0802">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540940A3">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6CA1389D">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58A62A6E">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659BF338">
            <w:pPr>
              <w:jc w:val="center"/>
              <w:rPr>
                <w:rFonts w:hint="default" w:ascii="Arial" w:hAnsi="Arial" w:cs="Arial"/>
                <w:szCs w:val="21"/>
                <w:highlight w:val="none"/>
              </w:rPr>
            </w:pPr>
            <w:r>
              <w:rPr>
                <w:rFonts w:hint="default" w:ascii="Arial" w:hAnsi="Arial" w:cs="Arial"/>
                <w:szCs w:val="21"/>
                <w:highlight w:val="none"/>
              </w:rPr>
              <w:t>110</w:t>
            </w:r>
          </w:p>
        </w:tc>
      </w:tr>
      <w:tr w14:paraId="7B855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6DFD2416">
            <w:pPr>
              <w:jc w:val="center"/>
              <w:rPr>
                <w:rFonts w:hint="default" w:ascii="Arial" w:hAnsi="Arial" w:cs="Arial"/>
                <w:szCs w:val="21"/>
                <w:highlight w:val="none"/>
              </w:rPr>
            </w:pPr>
            <w:r>
              <w:rPr>
                <w:rFonts w:hint="default" w:ascii="Arial" w:hAnsi="Arial" w:cs="Arial"/>
                <w:szCs w:val="21"/>
                <w:highlight w:val="none"/>
              </w:rPr>
              <w:t>800</w:t>
            </w:r>
          </w:p>
        </w:tc>
        <w:tc>
          <w:tcPr>
            <w:tcW w:w="452" w:type="pct"/>
            <w:noWrap w:val="0"/>
            <w:vAlign w:val="center"/>
          </w:tcPr>
          <w:p w14:paraId="509030C6">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62A828CF">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78B019CE">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3CECED09">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595D9CDC">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0E213B1">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1F37038B">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5F23A728">
            <w:pPr>
              <w:jc w:val="center"/>
              <w:rPr>
                <w:rFonts w:hint="default" w:ascii="Arial" w:hAnsi="Arial" w:cs="Arial"/>
                <w:szCs w:val="21"/>
                <w:highlight w:val="none"/>
              </w:rPr>
            </w:pPr>
            <w:r>
              <w:rPr>
                <w:rFonts w:hint="default" w:ascii="Arial" w:hAnsi="Arial" w:cs="Arial"/>
                <w:szCs w:val="21"/>
                <w:highlight w:val="none"/>
              </w:rPr>
              <w:t>110</w:t>
            </w:r>
          </w:p>
        </w:tc>
      </w:tr>
      <w:tr w14:paraId="46FF6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69E63B59">
            <w:pPr>
              <w:jc w:val="center"/>
              <w:rPr>
                <w:rFonts w:hint="default" w:ascii="Arial" w:hAnsi="Arial" w:cs="Arial"/>
                <w:szCs w:val="21"/>
                <w:highlight w:val="none"/>
              </w:rPr>
            </w:pPr>
            <w:r>
              <w:rPr>
                <w:rFonts w:hint="default" w:ascii="Arial" w:hAnsi="Arial" w:cs="Arial"/>
                <w:szCs w:val="21"/>
                <w:highlight w:val="none"/>
              </w:rPr>
              <w:t>900</w:t>
            </w:r>
          </w:p>
        </w:tc>
        <w:tc>
          <w:tcPr>
            <w:tcW w:w="452" w:type="pct"/>
            <w:noWrap w:val="0"/>
            <w:vAlign w:val="center"/>
          </w:tcPr>
          <w:p w14:paraId="4A921D16">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7D02E276">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39D0021A">
            <w:pPr>
              <w:jc w:val="center"/>
              <w:rPr>
                <w:rFonts w:hint="default" w:ascii="Arial" w:hAnsi="Arial" w:cs="Arial"/>
                <w:szCs w:val="21"/>
                <w:highlight w:val="none"/>
              </w:rPr>
            </w:pPr>
            <w:r>
              <w:rPr>
                <w:rFonts w:hint="default" w:ascii="Arial" w:hAnsi="Arial" w:cs="Arial"/>
                <w:szCs w:val="21"/>
                <w:highlight w:val="none"/>
              </w:rPr>
              <w:t>70</w:t>
            </w:r>
          </w:p>
        </w:tc>
        <w:tc>
          <w:tcPr>
            <w:tcW w:w="522" w:type="pct"/>
            <w:noWrap w:val="0"/>
            <w:vAlign w:val="center"/>
          </w:tcPr>
          <w:p w14:paraId="23E6C9E2">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2FC14479">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53BCE7CA">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5BC746DE">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04F89AEE">
            <w:pPr>
              <w:jc w:val="center"/>
              <w:rPr>
                <w:rFonts w:hint="default" w:ascii="Arial" w:hAnsi="Arial" w:cs="Arial"/>
                <w:szCs w:val="21"/>
                <w:highlight w:val="none"/>
              </w:rPr>
            </w:pPr>
            <w:r>
              <w:rPr>
                <w:rFonts w:hint="default" w:ascii="Arial" w:hAnsi="Arial" w:cs="Arial"/>
                <w:szCs w:val="21"/>
                <w:highlight w:val="none"/>
              </w:rPr>
              <w:t>110</w:t>
            </w:r>
          </w:p>
        </w:tc>
      </w:tr>
      <w:tr w14:paraId="5AA87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5009DDCB">
            <w:pPr>
              <w:jc w:val="center"/>
              <w:rPr>
                <w:rFonts w:hint="default" w:ascii="Arial" w:hAnsi="Arial" w:cs="Arial"/>
                <w:szCs w:val="21"/>
                <w:highlight w:val="none"/>
              </w:rPr>
            </w:pPr>
            <w:r>
              <w:rPr>
                <w:rFonts w:hint="default" w:ascii="Arial" w:hAnsi="Arial" w:cs="Arial"/>
                <w:szCs w:val="21"/>
                <w:highlight w:val="none"/>
              </w:rPr>
              <w:t>≥1000</w:t>
            </w:r>
          </w:p>
        </w:tc>
        <w:tc>
          <w:tcPr>
            <w:tcW w:w="452" w:type="pct"/>
            <w:noWrap w:val="0"/>
            <w:vAlign w:val="center"/>
          </w:tcPr>
          <w:p w14:paraId="21AB5D56">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695D5EC5">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6C3A4AFB">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B15DB55">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3D605FED">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17F91136">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5F1A3676">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5BFD00AE">
            <w:pPr>
              <w:jc w:val="center"/>
              <w:rPr>
                <w:rFonts w:hint="default" w:ascii="Arial" w:hAnsi="Arial" w:cs="Arial"/>
                <w:szCs w:val="21"/>
                <w:highlight w:val="none"/>
              </w:rPr>
            </w:pPr>
            <w:r>
              <w:rPr>
                <w:rFonts w:hint="default" w:ascii="Arial" w:hAnsi="Arial" w:cs="Arial"/>
                <w:szCs w:val="21"/>
                <w:highlight w:val="none"/>
              </w:rPr>
              <w:t>110</w:t>
            </w:r>
          </w:p>
        </w:tc>
      </w:tr>
      <w:tr w14:paraId="0C515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891" w:type="pct"/>
            <w:noWrap w:val="0"/>
            <w:vAlign w:val="center"/>
          </w:tcPr>
          <w:p w14:paraId="4241DA50">
            <w:pPr>
              <w:jc w:val="center"/>
              <w:rPr>
                <w:rFonts w:hint="default" w:ascii="Arial" w:hAnsi="Arial" w:eastAsia="宋体" w:cs="Arial"/>
                <w:szCs w:val="21"/>
                <w:highlight w:val="none"/>
                <w:lang w:eastAsia="zh-CN"/>
              </w:rPr>
            </w:pPr>
            <w:r>
              <w:rPr>
                <w:rFonts w:hint="default" w:ascii="Arial" w:hAnsi="Arial" w:cs="Arial"/>
                <w:szCs w:val="21"/>
                <w:highlight w:val="none"/>
                <w:lang w:eastAsia="zh-CN"/>
              </w:rPr>
              <w:t>设备</w:t>
            </w:r>
          </w:p>
        </w:tc>
        <w:tc>
          <w:tcPr>
            <w:tcW w:w="452" w:type="pct"/>
            <w:noWrap w:val="0"/>
            <w:vAlign w:val="center"/>
          </w:tcPr>
          <w:p w14:paraId="2BD30D88">
            <w:pPr>
              <w:jc w:val="center"/>
              <w:rPr>
                <w:rFonts w:hint="default" w:ascii="Arial" w:hAnsi="Arial" w:cs="Arial"/>
                <w:szCs w:val="21"/>
                <w:highlight w:val="none"/>
              </w:rPr>
            </w:pPr>
            <w:r>
              <w:rPr>
                <w:rFonts w:hint="default" w:ascii="Arial" w:hAnsi="Arial" w:cs="Arial"/>
                <w:szCs w:val="21"/>
                <w:highlight w:val="none"/>
              </w:rPr>
              <w:t>30</w:t>
            </w:r>
          </w:p>
        </w:tc>
        <w:tc>
          <w:tcPr>
            <w:tcW w:w="522" w:type="pct"/>
            <w:noWrap w:val="0"/>
            <w:vAlign w:val="center"/>
          </w:tcPr>
          <w:p w14:paraId="60901D61">
            <w:pPr>
              <w:jc w:val="center"/>
              <w:rPr>
                <w:rFonts w:hint="default" w:ascii="Arial" w:hAnsi="Arial" w:cs="Arial"/>
                <w:szCs w:val="21"/>
                <w:highlight w:val="none"/>
              </w:rPr>
            </w:pPr>
            <w:r>
              <w:rPr>
                <w:rFonts w:hint="default" w:ascii="Arial" w:hAnsi="Arial" w:cs="Arial"/>
                <w:szCs w:val="21"/>
                <w:highlight w:val="none"/>
              </w:rPr>
              <w:t>50</w:t>
            </w:r>
          </w:p>
        </w:tc>
        <w:tc>
          <w:tcPr>
            <w:tcW w:w="522" w:type="pct"/>
            <w:noWrap w:val="0"/>
            <w:vAlign w:val="center"/>
          </w:tcPr>
          <w:p w14:paraId="422927B7">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5958A922">
            <w:pPr>
              <w:jc w:val="center"/>
              <w:rPr>
                <w:rFonts w:hint="default" w:ascii="Arial" w:hAnsi="Arial" w:cs="Arial"/>
                <w:szCs w:val="21"/>
                <w:highlight w:val="none"/>
              </w:rPr>
            </w:pPr>
            <w:r>
              <w:rPr>
                <w:rFonts w:hint="default" w:ascii="Arial" w:hAnsi="Arial" w:cs="Arial"/>
                <w:szCs w:val="21"/>
                <w:highlight w:val="none"/>
              </w:rPr>
              <w:t>80</w:t>
            </w:r>
          </w:p>
        </w:tc>
        <w:tc>
          <w:tcPr>
            <w:tcW w:w="522" w:type="pct"/>
            <w:noWrap w:val="0"/>
            <w:vAlign w:val="center"/>
          </w:tcPr>
          <w:p w14:paraId="0FEF6532">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09A767A8">
            <w:pPr>
              <w:jc w:val="center"/>
              <w:rPr>
                <w:rFonts w:hint="default" w:ascii="Arial" w:hAnsi="Arial" w:cs="Arial"/>
                <w:szCs w:val="21"/>
                <w:highlight w:val="none"/>
              </w:rPr>
            </w:pPr>
            <w:r>
              <w:rPr>
                <w:rFonts w:hint="default" w:ascii="Arial" w:hAnsi="Arial" w:cs="Arial"/>
                <w:szCs w:val="21"/>
                <w:highlight w:val="none"/>
              </w:rPr>
              <w:t>90</w:t>
            </w:r>
          </w:p>
        </w:tc>
        <w:tc>
          <w:tcPr>
            <w:tcW w:w="522" w:type="pct"/>
            <w:noWrap w:val="0"/>
            <w:vAlign w:val="center"/>
          </w:tcPr>
          <w:p w14:paraId="60E7B5E3">
            <w:pPr>
              <w:jc w:val="center"/>
              <w:rPr>
                <w:rFonts w:hint="default" w:ascii="Arial" w:hAnsi="Arial" w:cs="Arial"/>
                <w:szCs w:val="21"/>
                <w:highlight w:val="none"/>
              </w:rPr>
            </w:pPr>
            <w:r>
              <w:rPr>
                <w:rFonts w:hint="default" w:ascii="Arial" w:hAnsi="Arial" w:cs="Arial"/>
                <w:szCs w:val="21"/>
                <w:highlight w:val="none"/>
              </w:rPr>
              <w:t>100</w:t>
            </w:r>
          </w:p>
        </w:tc>
        <w:tc>
          <w:tcPr>
            <w:tcW w:w="522" w:type="pct"/>
            <w:noWrap w:val="0"/>
            <w:vAlign w:val="center"/>
          </w:tcPr>
          <w:p w14:paraId="55ECD0AD">
            <w:pPr>
              <w:jc w:val="center"/>
              <w:rPr>
                <w:rFonts w:hint="default" w:ascii="Arial" w:hAnsi="Arial" w:cs="Arial"/>
                <w:szCs w:val="21"/>
                <w:highlight w:val="none"/>
              </w:rPr>
            </w:pPr>
            <w:r>
              <w:rPr>
                <w:rFonts w:hint="default" w:ascii="Arial" w:hAnsi="Arial" w:cs="Arial"/>
                <w:szCs w:val="21"/>
                <w:highlight w:val="none"/>
              </w:rPr>
              <w:t>110</w:t>
            </w:r>
          </w:p>
        </w:tc>
      </w:tr>
    </w:tbl>
    <w:p w14:paraId="23880844">
      <w:pPr>
        <w:spacing w:line="360" w:lineRule="auto"/>
        <w:ind w:firstLine="480" w:firstLineChars="200"/>
        <w:jc w:val="left"/>
        <w:rPr>
          <w:rFonts w:hint="eastAsia" w:ascii="Arial" w:hAnsi="Arial"/>
          <w:color w:val="1F1F1F"/>
          <w:sz w:val="24"/>
          <w:highlight w:val="none"/>
        </w:rPr>
      </w:pPr>
      <w:r>
        <w:rPr>
          <w:rFonts w:hint="eastAsia" w:ascii="Arial" w:hAnsi="Arial"/>
          <w:color w:val="1F1F1F"/>
          <w:sz w:val="24"/>
          <w:highlight w:val="none"/>
        </w:rPr>
        <w:t>c</w:t>
      </w:r>
      <w:r>
        <w:rPr>
          <w:rFonts w:ascii="Arial" w:hAnsi="Arial"/>
          <w:color w:val="1F1F1F"/>
          <w:sz w:val="24"/>
          <w:highlight w:val="none"/>
        </w:rPr>
        <w:t>. 防烫保护厚度</w:t>
      </w:r>
      <w:r>
        <w:rPr>
          <w:rFonts w:hint="eastAsia" w:ascii="Arial" w:hAnsi="Arial"/>
          <w:color w:val="1F1F1F"/>
          <w:sz w:val="24"/>
          <w:highlight w:val="none"/>
        </w:rPr>
        <w:t xml:space="preserve">表            </w:t>
      </w:r>
    </w:p>
    <w:tbl>
      <w:tblPr>
        <w:tblStyle w:val="1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7"/>
        <w:gridCol w:w="1927"/>
        <w:gridCol w:w="2065"/>
        <w:gridCol w:w="2114"/>
        <w:gridCol w:w="1925"/>
      </w:tblGrid>
      <w:tr w14:paraId="46E7E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67" w:type="pct"/>
            <w:noWrap w:val="0"/>
            <w:vAlign w:val="center"/>
          </w:tcPr>
          <w:p w14:paraId="432610C8">
            <w:pPr>
              <w:jc w:val="center"/>
              <w:rPr>
                <w:rFonts w:hint="default" w:ascii="Arial" w:hAnsi="Arial" w:cs="Arial"/>
                <w:i/>
                <w:color w:val="1F1F1F"/>
                <w:w w:val="90"/>
                <w:szCs w:val="21"/>
                <w:highlight w:val="none"/>
              </w:rPr>
            </w:pPr>
            <w:r>
              <w:rPr>
                <w:rFonts w:hint="default" w:ascii="Arial" w:hAnsi="Arial" w:cs="Arial"/>
                <w:color w:val="1F1F1F"/>
                <w:szCs w:val="21"/>
                <w:highlight w:val="none"/>
              </w:rPr>
              <mc:AlternateContent>
                <mc:Choice Requires="wps">
                  <w:drawing>
                    <wp:anchor distT="0" distB="0" distL="114300" distR="114300" simplePos="0" relativeHeight="251660288" behindDoc="0" locked="0" layoutInCell="1" allowOverlap="1">
                      <wp:simplePos x="0" y="0"/>
                      <wp:positionH relativeFrom="column">
                        <wp:posOffset>-67310</wp:posOffset>
                      </wp:positionH>
                      <wp:positionV relativeFrom="paragraph">
                        <wp:posOffset>-635</wp:posOffset>
                      </wp:positionV>
                      <wp:extent cx="1265555" cy="909320"/>
                      <wp:effectExtent l="2540" t="3810" r="8255" b="20320"/>
                      <wp:wrapNone/>
                      <wp:docPr id="5" name="任意多边形 5"/>
                      <wp:cNvGraphicFramePr/>
                      <a:graphic xmlns:a="http://schemas.openxmlformats.org/drawingml/2006/main">
                        <a:graphicData uri="http://schemas.microsoft.com/office/word/2010/wordprocessingShape">
                          <wps:wsp>
                            <wps:cNvSpPr/>
                            <wps:spPr>
                              <a:xfrm>
                                <a:off x="0" y="0"/>
                                <a:ext cx="1265555" cy="909320"/>
                              </a:xfrm>
                              <a:custGeom>
                                <a:avLst/>
                                <a:gdLst/>
                                <a:ahLst/>
                                <a:cxnLst/>
                                <a:pathLst>
                                  <a:path w="1053" h="823">
                                    <a:moveTo>
                                      <a:pt x="0" y="0"/>
                                    </a:moveTo>
                                    <a:cubicBezTo>
                                      <a:pt x="175" y="137"/>
                                      <a:pt x="834" y="652"/>
                                      <a:pt x="1053" y="823"/>
                                    </a:cubicBezTo>
                                  </a:path>
                                </a:pathLst>
                              </a:custGeom>
                              <a:noFill/>
                              <a:ln w="952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5.3pt;margin-top:-0.05pt;height:71.6pt;width:99.65pt;z-index:251660288;mso-width-relative:page;mso-height-relative:page;" filled="f" stroked="t" coordsize="1053,823" o:gfxdata="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AF0VmzZAAAACQEA&#10;AA8AAAAAAAAAAQAgAAAAIgAAAGRycy9kb3ducmV2LnhtbFBLAQIUABQAAAAIAIdO4kB8Qf9eUgIA&#10;AMsEAAAOAAAAAAAAAAEAIAAAACgBAABkcnMvZTJvRG9jLnhtbFBLBQYAAAAABgAGAFkBAADsBQAA&#10;AAA=&#10;" path="m0,0c175,137,834,652,1053,823e">
                      <v:fill on="f" focussize="0,0"/>
                      <v:stroke color="#000000" joinstyle="round"/>
                      <v:imagedata o:title=""/>
                      <o:lock v:ext="edit" aspectratio="f"/>
                    </v:shape>
                  </w:pict>
                </mc:Fallback>
              </mc:AlternateContent>
            </w:r>
            <w:r>
              <w:rPr>
                <w:rFonts w:hint="default" w:ascii="Arial" w:hAnsi="Arial" w:cs="Arial"/>
                <w:color w:val="1F1F1F"/>
                <w:szCs w:val="21"/>
                <w:highlight w:val="none"/>
              </w:rPr>
              <mc:AlternateContent>
                <mc:Choice Requires="wps">
                  <w:drawing>
                    <wp:anchor distT="0" distB="0" distL="114300" distR="114300" simplePos="0" relativeHeight="251661312" behindDoc="0" locked="0" layoutInCell="1" allowOverlap="1">
                      <wp:simplePos x="0" y="0"/>
                      <wp:positionH relativeFrom="column">
                        <wp:posOffset>-68580</wp:posOffset>
                      </wp:positionH>
                      <wp:positionV relativeFrom="paragraph">
                        <wp:posOffset>-1905</wp:posOffset>
                      </wp:positionV>
                      <wp:extent cx="1194435" cy="333375"/>
                      <wp:effectExtent l="1270" t="4445" r="4445" b="5080"/>
                      <wp:wrapNone/>
                      <wp:docPr id="6" name="任意多边形 6"/>
                      <wp:cNvGraphicFramePr/>
                      <a:graphic xmlns:a="http://schemas.openxmlformats.org/drawingml/2006/main">
                        <a:graphicData uri="http://schemas.microsoft.com/office/word/2010/wordprocessingShape">
                          <wps:wsp>
                            <wps:cNvSpPr/>
                            <wps:spPr>
                              <a:xfrm>
                                <a:off x="0" y="0"/>
                                <a:ext cx="1194435" cy="333375"/>
                              </a:xfrm>
                              <a:custGeom>
                                <a:avLst/>
                                <a:gdLst/>
                                <a:ahLst/>
                                <a:cxnLst/>
                                <a:pathLst>
                                  <a:path w="1408" h="419">
                                    <a:moveTo>
                                      <a:pt x="0" y="0"/>
                                    </a:moveTo>
                                    <a:lnTo>
                                      <a:pt x="1408" y="419"/>
                                    </a:lnTo>
                                  </a:path>
                                </a:pathLst>
                              </a:custGeom>
                              <a:noFill/>
                              <a:ln w="952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5.4pt;margin-top:-0.15pt;height:26.25pt;width:94.05pt;z-index:251661312;mso-width-relative:page;mso-height-relative:page;" filled="f" stroked="t" coordsize="1408,419" o:gfxdata="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B5GigXWAAAACAEAAA8AAAAAAAAAAQAgAAAAIgAAAGRycy9kb3ducmV2&#10;LnhtbFBLAQIUABQAAAAIAIdO4kDcaQrFNwIAAJEEAAAOAAAAAAAAAAEAIAAAACUBAABkcnMvZTJv&#10;RG9jLnhtbFBLBQYAAAAABgAGAFkBAADOBQAAAAA=&#10;" path="m0,0l1408,419e">
                      <v:fill on="f" focussize="0,0"/>
                      <v:stroke color="#000000" joinstyle="round"/>
                      <v:imagedata o:title=""/>
                      <o:lock v:ext="edit" aspectratio="f"/>
                    </v:shape>
                  </w:pict>
                </mc:Fallback>
              </mc:AlternateContent>
            </w:r>
            <w:r>
              <w:rPr>
                <w:rFonts w:hint="default" w:ascii="Arial" w:hAnsi="Arial" w:cs="Arial"/>
                <w:color w:val="1F1F1F"/>
                <w:szCs w:val="21"/>
                <w:highlight w:val="none"/>
              </w:rPr>
              <w:t xml:space="preserve">      </w:t>
            </w:r>
            <w:r>
              <w:rPr>
                <w:rFonts w:hint="default" w:ascii="Arial" w:hAnsi="Arial" w:cs="Arial"/>
                <w:color w:val="1F1F1F"/>
                <w:szCs w:val="21"/>
                <w:highlight w:val="none"/>
                <w:lang w:val="en-US" w:eastAsia="zh-CN"/>
              </w:rPr>
              <w:t xml:space="preserve">  </w:t>
            </w:r>
            <w:r>
              <w:rPr>
                <w:rFonts w:hint="default" w:ascii="Arial" w:hAnsi="Arial" w:cs="Arial"/>
                <w:i/>
                <w:color w:val="1F1F1F"/>
                <w:w w:val="90"/>
                <w:szCs w:val="21"/>
                <w:highlight w:val="none"/>
              </w:rPr>
              <w:t>温度℃</w:t>
            </w:r>
          </w:p>
          <w:p w14:paraId="3A263FA4">
            <w:pPr>
              <w:rPr>
                <w:rFonts w:hint="default" w:ascii="Arial" w:hAnsi="Arial" w:cs="Arial"/>
                <w:i/>
                <w:color w:val="1F1F1F"/>
                <w:w w:val="90"/>
                <w:szCs w:val="21"/>
                <w:highlight w:val="none"/>
              </w:rPr>
            </w:pPr>
            <w:r>
              <w:rPr>
                <w:rFonts w:hint="default" w:ascii="Arial" w:hAnsi="Arial" w:cs="Arial"/>
                <w:color w:val="1F1F1F"/>
                <w:szCs w:val="21"/>
                <w:highlight w:val="none"/>
              </w:rPr>
              <w:t xml:space="preserve">      </w:t>
            </w:r>
            <w:r>
              <w:rPr>
                <w:rFonts w:hint="default" w:ascii="Arial" w:hAnsi="Arial" w:cs="Arial"/>
                <w:color w:val="1F1F1F"/>
                <w:szCs w:val="21"/>
                <w:highlight w:val="none"/>
                <w:lang w:val="en-US" w:eastAsia="zh-CN"/>
              </w:rPr>
              <w:t xml:space="preserve">  </w:t>
            </w:r>
            <w:r>
              <w:rPr>
                <w:rFonts w:hint="default" w:ascii="Arial" w:hAnsi="Arial" w:cs="Arial"/>
                <w:i/>
                <w:color w:val="1F1F1F"/>
                <w:w w:val="90"/>
                <w:szCs w:val="21"/>
                <w:highlight w:val="none"/>
              </w:rPr>
              <w:t>厚度mm</w:t>
            </w:r>
          </w:p>
          <w:p w14:paraId="010A233F">
            <w:pPr>
              <w:rPr>
                <w:rFonts w:hint="default" w:ascii="Arial" w:hAnsi="Arial" w:cs="Arial"/>
                <w:i/>
                <w:color w:val="1F1F1F"/>
                <w:w w:val="90"/>
                <w:szCs w:val="21"/>
                <w:highlight w:val="none"/>
              </w:rPr>
            </w:pPr>
            <w:r>
              <w:rPr>
                <w:rFonts w:hint="default" w:ascii="Arial" w:hAnsi="Arial" w:cs="Arial"/>
                <w:i/>
                <w:color w:val="1F1F1F"/>
                <w:w w:val="90"/>
                <w:szCs w:val="21"/>
                <w:highlight w:val="none"/>
              </w:rPr>
              <w:t>管径mm</w:t>
            </w:r>
          </w:p>
        </w:tc>
        <w:tc>
          <w:tcPr>
            <w:tcW w:w="967" w:type="pct"/>
            <w:noWrap w:val="0"/>
            <w:vAlign w:val="center"/>
          </w:tcPr>
          <w:p w14:paraId="1E26D965">
            <w:pPr>
              <w:jc w:val="center"/>
              <w:rPr>
                <w:rFonts w:hint="default" w:ascii="Arial" w:hAnsi="Arial" w:cs="Arial"/>
                <w:color w:val="1F1F1F"/>
                <w:szCs w:val="21"/>
                <w:highlight w:val="none"/>
              </w:rPr>
            </w:pPr>
            <w:r>
              <w:rPr>
                <w:rFonts w:hint="default" w:ascii="Arial" w:hAnsi="Arial" w:cs="Arial"/>
                <w:color w:val="1F1F1F"/>
                <w:szCs w:val="21"/>
                <w:highlight w:val="none"/>
              </w:rPr>
              <w:t>50～100</w:t>
            </w:r>
          </w:p>
        </w:tc>
        <w:tc>
          <w:tcPr>
            <w:tcW w:w="1036" w:type="pct"/>
            <w:noWrap w:val="0"/>
            <w:vAlign w:val="center"/>
          </w:tcPr>
          <w:p w14:paraId="19A84C7B">
            <w:pPr>
              <w:jc w:val="center"/>
              <w:rPr>
                <w:rFonts w:hint="default" w:ascii="Arial" w:hAnsi="Arial" w:cs="Arial"/>
                <w:color w:val="1F1F1F"/>
                <w:szCs w:val="21"/>
                <w:highlight w:val="none"/>
              </w:rPr>
            </w:pPr>
            <w:r>
              <w:rPr>
                <w:rFonts w:hint="default" w:ascii="Arial" w:hAnsi="Arial" w:cs="Arial"/>
                <w:color w:val="1F1F1F"/>
                <w:szCs w:val="21"/>
                <w:highlight w:val="none"/>
              </w:rPr>
              <w:t>101～150</w:t>
            </w:r>
          </w:p>
        </w:tc>
        <w:tc>
          <w:tcPr>
            <w:tcW w:w="1061" w:type="pct"/>
            <w:noWrap w:val="0"/>
            <w:vAlign w:val="center"/>
          </w:tcPr>
          <w:p w14:paraId="50453357">
            <w:pPr>
              <w:jc w:val="center"/>
              <w:rPr>
                <w:rFonts w:hint="default" w:ascii="Arial" w:hAnsi="Arial" w:cs="Arial"/>
                <w:color w:val="1F1F1F"/>
                <w:szCs w:val="21"/>
                <w:highlight w:val="none"/>
              </w:rPr>
            </w:pPr>
            <w:r>
              <w:rPr>
                <w:rFonts w:hint="default" w:ascii="Arial" w:hAnsi="Arial" w:cs="Arial"/>
                <w:color w:val="1F1F1F"/>
                <w:szCs w:val="21"/>
                <w:highlight w:val="none"/>
              </w:rPr>
              <w:t>151～200</w:t>
            </w:r>
          </w:p>
        </w:tc>
        <w:tc>
          <w:tcPr>
            <w:tcW w:w="966" w:type="pct"/>
            <w:noWrap w:val="0"/>
            <w:vAlign w:val="center"/>
          </w:tcPr>
          <w:p w14:paraId="247457AF">
            <w:pPr>
              <w:jc w:val="center"/>
              <w:rPr>
                <w:rFonts w:hint="default" w:ascii="Arial" w:hAnsi="Arial" w:cs="Arial"/>
                <w:color w:val="1F1F1F"/>
                <w:szCs w:val="21"/>
                <w:highlight w:val="none"/>
              </w:rPr>
            </w:pPr>
            <w:r>
              <w:rPr>
                <w:rFonts w:hint="default" w:ascii="Arial" w:hAnsi="Arial" w:cs="Arial"/>
                <w:color w:val="1F1F1F"/>
                <w:szCs w:val="21"/>
                <w:highlight w:val="none"/>
              </w:rPr>
              <w:t>201~250</w:t>
            </w:r>
          </w:p>
        </w:tc>
      </w:tr>
      <w:tr w14:paraId="686D7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5661A307">
            <w:pPr>
              <w:jc w:val="center"/>
              <w:rPr>
                <w:rFonts w:hint="default" w:ascii="Arial" w:hAnsi="Arial" w:cs="Arial"/>
                <w:color w:val="1F1F1F"/>
                <w:szCs w:val="21"/>
                <w:highlight w:val="none"/>
              </w:rPr>
            </w:pPr>
            <w:r>
              <w:rPr>
                <w:rFonts w:hint="default" w:ascii="Arial" w:hAnsi="Arial" w:cs="Arial"/>
                <w:color w:val="1F1F1F"/>
                <w:szCs w:val="21"/>
                <w:highlight w:val="none"/>
              </w:rPr>
              <w:t>15</w:t>
            </w:r>
          </w:p>
        </w:tc>
        <w:tc>
          <w:tcPr>
            <w:tcW w:w="967" w:type="pct"/>
            <w:noWrap w:val="0"/>
            <w:vAlign w:val="center"/>
          </w:tcPr>
          <w:p w14:paraId="0E716B74">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6B6D81B7">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1079D27A">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966" w:type="pct"/>
            <w:noWrap w:val="0"/>
            <w:vAlign w:val="center"/>
          </w:tcPr>
          <w:p w14:paraId="1D35DDDD">
            <w:pPr>
              <w:autoSpaceDE w:val="0"/>
              <w:autoSpaceDN w:val="0"/>
              <w:adjustRightInd w:val="0"/>
              <w:jc w:val="center"/>
              <w:rPr>
                <w:rFonts w:hint="default" w:ascii="Arial" w:hAnsi="Arial" w:cs="Arial"/>
                <w:color w:val="1F1F1F"/>
                <w:szCs w:val="21"/>
                <w:highlight w:val="none"/>
              </w:rPr>
            </w:pPr>
            <w:r>
              <w:rPr>
                <w:rFonts w:hint="default" w:ascii="Arial" w:hAnsi="Arial" w:cs="Arial"/>
                <w:color w:val="1F1F1F"/>
                <w:szCs w:val="21"/>
                <w:highlight w:val="none"/>
              </w:rPr>
              <w:t>30</w:t>
            </w:r>
          </w:p>
        </w:tc>
      </w:tr>
      <w:tr w14:paraId="6BFCD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71297590">
            <w:pPr>
              <w:jc w:val="center"/>
              <w:rPr>
                <w:rFonts w:hint="default" w:ascii="Arial" w:hAnsi="Arial" w:cs="Arial"/>
                <w:color w:val="1F1F1F"/>
                <w:szCs w:val="21"/>
                <w:highlight w:val="none"/>
              </w:rPr>
            </w:pPr>
            <w:r>
              <w:rPr>
                <w:rFonts w:hint="default" w:ascii="Arial" w:hAnsi="Arial" w:cs="Arial"/>
                <w:color w:val="1F1F1F"/>
                <w:szCs w:val="21"/>
                <w:highlight w:val="none"/>
              </w:rPr>
              <w:t>20</w:t>
            </w:r>
          </w:p>
        </w:tc>
        <w:tc>
          <w:tcPr>
            <w:tcW w:w="967" w:type="pct"/>
            <w:noWrap w:val="0"/>
            <w:vAlign w:val="center"/>
          </w:tcPr>
          <w:p w14:paraId="55CE62A4">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24067EE6">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150A9F88">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966" w:type="pct"/>
            <w:noWrap w:val="0"/>
            <w:vAlign w:val="center"/>
          </w:tcPr>
          <w:p w14:paraId="45BC0900">
            <w:pPr>
              <w:autoSpaceDE w:val="0"/>
              <w:autoSpaceDN w:val="0"/>
              <w:adjustRightInd w:val="0"/>
              <w:jc w:val="center"/>
              <w:rPr>
                <w:rFonts w:hint="default" w:ascii="Arial" w:hAnsi="Arial" w:cs="Arial"/>
                <w:color w:val="1F1F1F"/>
                <w:szCs w:val="21"/>
                <w:highlight w:val="none"/>
              </w:rPr>
            </w:pPr>
            <w:r>
              <w:rPr>
                <w:rFonts w:hint="default" w:ascii="Arial" w:hAnsi="Arial" w:cs="Arial"/>
                <w:color w:val="1F1F1F"/>
                <w:szCs w:val="21"/>
                <w:highlight w:val="none"/>
              </w:rPr>
              <w:t>30</w:t>
            </w:r>
          </w:p>
        </w:tc>
      </w:tr>
      <w:tr w14:paraId="2240C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191C2DE9">
            <w:pPr>
              <w:jc w:val="center"/>
              <w:rPr>
                <w:rFonts w:hint="default" w:ascii="Arial" w:hAnsi="Arial" w:cs="Arial"/>
                <w:color w:val="1F1F1F"/>
                <w:szCs w:val="21"/>
                <w:highlight w:val="none"/>
              </w:rPr>
            </w:pPr>
            <w:r>
              <w:rPr>
                <w:rFonts w:hint="default" w:ascii="Arial" w:hAnsi="Arial" w:cs="Arial"/>
                <w:color w:val="1F1F1F"/>
                <w:szCs w:val="21"/>
                <w:highlight w:val="none"/>
              </w:rPr>
              <w:t>25</w:t>
            </w:r>
          </w:p>
        </w:tc>
        <w:tc>
          <w:tcPr>
            <w:tcW w:w="967" w:type="pct"/>
            <w:noWrap w:val="0"/>
            <w:vAlign w:val="center"/>
          </w:tcPr>
          <w:p w14:paraId="182E2C1B">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7C5A9706">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5AF4D30E">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966" w:type="pct"/>
            <w:noWrap w:val="0"/>
            <w:vAlign w:val="center"/>
          </w:tcPr>
          <w:p w14:paraId="2D91FB19">
            <w:pPr>
              <w:autoSpaceDE w:val="0"/>
              <w:autoSpaceDN w:val="0"/>
              <w:adjustRightInd w:val="0"/>
              <w:jc w:val="center"/>
              <w:rPr>
                <w:rFonts w:hint="default" w:ascii="Arial" w:hAnsi="Arial" w:cs="Arial"/>
                <w:color w:val="1F1F1F"/>
                <w:szCs w:val="21"/>
                <w:highlight w:val="none"/>
              </w:rPr>
            </w:pPr>
            <w:r>
              <w:rPr>
                <w:rFonts w:hint="default" w:ascii="Arial" w:hAnsi="Arial" w:cs="Arial"/>
                <w:color w:val="1F1F1F"/>
                <w:szCs w:val="21"/>
                <w:highlight w:val="none"/>
              </w:rPr>
              <w:t>30</w:t>
            </w:r>
          </w:p>
        </w:tc>
      </w:tr>
      <w:tr w14:paraId="79F13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21A6F230">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967" w:type="pct"/>
            <w:noWrap w:val="0"/>
            <w:vAlign w:val="center"/>
          </w:tcPr>
          <w:p w14:paraId="4FD3B637">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137BAAD1">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6FCD4704">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966" w:type="pct"/>
            <w:noWrap w:val="0"/>
            <w:vAlign w:val="center"/>
          </w:tcPr>
          <w:p w14:paraId="09E78CDD">
            <w:pPr>
              <w:jc w:val="center"/>
              <w:rPr>
                <w:rFonts w:hint="default" w:ascii="Arial" w:hAnsi="Arial" w:cs="Arial"/>
                <w:color w:val="1F1F1F"/>
                <w:szCs w:val="21"/>
                <w:highlight w:val="none"/>
              </w:rPr>
            </w:pPr>
            <w:r>
              <w:rPr>
                <w:rFonts w:hint="default" w:ascii="Arial" w:hAnsi="Arial" w:cs="Arial"/>
                <w:color w:val="1F1F1F"/>
                <w:szCs w:val="21"/>
                <w:highlight w:val="none"/>
              </w:rPr>
              <w:t>40</w:t>
            </w:r>
          </w:p>
        </w:tc>
      </w:tr>
      <w:tr w14:paraId="7D21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5A300F67">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967" w:type="pct"/>
            <w:noWrap w:val="0"/>
            <w:vAlign w:val="center"/>
          </w:tcPr>
          <w:p w14:paraId="52066B7E">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42BF39CB">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0963DF85">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966" w:type="pct"/>
            <w:noWrap w:val="0"/>
            <w:vAlign w:val="center"/>
          </w:tcPr>
          <w:p w14:paraId="22684AD6">
            <w:pPr>
              <w:jc w:val="center"/>
              <w:rPr>
                <w:rFonts w:hint="default" w:ascii="Arial" w:hAnsi="Arial" w:cs="Arial"/>
                <w:color w:val="1F1F1F"/>
                <w:szCs w:val="21"/>
                <w:highlight w:val="none"/>
              </w:rPr>
            </w:pPr>
            <w:r>
              <w:rPr>
                <w:rFonts w:hint="default" w:ascii="Arial" w:hAnsi="Arial" w:cs="Arial"/>
                <w:color w:val="1F1F1F"/>
                <w:szCs w:val="21"/>
                <w:highlight w:val="none"/>
              </w:rPr>
              <w:t>40</w:t>
            </w:r>
          </w:p>
        </w:tc>
      </w:tr>
      <w:tr w14:paraId="2BD4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56EF2713">
            <w:pPr>
              <w:jc w:val="center"/>
              <w:rPr>
                <w:rFonts w:hint="default" w:ascii="Arial" w:hAnsi="Arial" w:cs="Arial"/>
                <w:color w:val="1F1F1F"/>
                <w:szCs w:val="21"/>
                <w:highlight w:val="none"/>
              </w:rPr>
            </w:pPr>
            <w:r>
              <w:rPr>
                <w:rFonts w:hint="default" w:ascii="Arial" w:hAnsi="Arial" w:cs="Arial"/>
                <w:color w:val="1F1F1F"/>
                <w:szCs w:val="21"/>
                <w:highlight w:val="none"/>
              </w:rPr>
              <w:t>80</w:t>
            </w:r>
          </w:p>
        </w:tc>
        <w:tc>
          <w:tcPr>
            <w:tcW w:w="967" w:type="pct"/>
            <w:noWrap w:val="0"/>
            <w:vAlign w:val="center"/>
          </w:tcPr>
          <w:p w14:paraId="42ED8B67">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1919F0E7">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61" w:type="pct"/>
            <w:noWrap w:val="0"/>
            <w:vAlign w:val="center"/>
          </w:tcPr>
          <w:p w14:paraId="71504363">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966" w:type="pct"/>
            <w:noWrap w:val="0"/>
            <w:vAlign w:val="center"/>
          </w:tcPr>
          <w:p w14:paraId="2A4EC9F7">
            <w:pPr>
              <w:jc w:val="center"/>
              <w:rPr>
                <w:rFonts w:hint="default" w:ascii="Arial" w:hAnsi="Arial" w:cs="Arial"/>
                <w:color w:val="1F1F1F"/>
                <w:szCs w:val="21"/>
                <w:highlight w:val="none"/>
              </w:rPr>
            </w:pPr>
            <w:r>
              <w:rPr>
                <w:rFonts w:hint="default" w:ascii="Arial" w:hAnsi="Arial" w:cs="Arial"/>
                <w:color w:val="1F1F1F"/>
                <w:szCs w:val="21"/>
                <w:highlight w:val="none"/>
              </w:rPr>
              <w:t>40</w:t>
            </w:r>
          </w:p>
        </w:tc>
      </w:tr>
      <w:tr w14:paraId="5F123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1BD259F0">
            <w:pPr>
              <w:jc w:val="center"/>
              <w:rPr>
                <w:rFonts w:hint="default" w:ascii="Arial" w:hAnsi="Arial" w:cs="Arial"/>
                <w:color w:val="1F1F1F"/>
                <w:szCs w:val="21"/>
                <w:highlight w:val="none"/>
              </w:rPr>
            </w:pPr>
            <w:r>
              <w:rPr>
                <w:rFonts w:hint="default" w:ascii="Arial" w:hAnsi="Arial" w:cs="Arial"/>
                <w:color w:val="1F1F1F"/>
                <w:szCs w:val="21"/>
                <w:highlight w:val="none"/>
              </w:rPr>
              <w:t>100</w:t>
            </w:r>
          </w:p>
        </w:tc>
        <w:tc>
          <w:tcPr>
            <w:tcW w:w="967" w:type="pct"/>
            <w:noWrap w:val="0"/>
            <w:vAlign w:val="center"/>
          </w:tcPr>
          <w:p w14:paraId="4F6EE68A">
            <w:pPr>
              <w:jc w:val="center"/>
              <w:rPr>
                <w:rFonts w:hint="default" w:ascii="Arial" w:hAnsi="Arial" w:cs="Arial"/>
                <w:color w:val="1F1F1F"/>
                <w:szCs w:val="21"/>
                <w:highlight w:val="none"/>
              </w:rPr>
            </w:pPr>
            <w:r>
              <w:rPr>
                <w:rFonts w:hint="default" w:ascii="Arial" w:hAnsi="Arial" w:cs="Arial"/>
                <w:color w:val="1F1F1F"/>
                <w:szCs w:val="21"/>
                <w:highlight w:val="none"/>
              </w:rPr>
              <w:t>30</w:t>
            </w:r>
          </w:p>
        </w:tc>
        <w:tc>
          <w:tcPr>
            <w:tcW w:w="1036" w:type="pct"/>
            <w:noWrap w:val="0"/>
            <w:vAlign w:val="center"/>
          </w:tcPr>
          <w:p w14:paraId="00FA94C4">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61" w:type="pct"/>
            <w:noWrap w:val="0"/>
            <w:vAlign w:val="center"/>
          </w:tcPr>
          <w:p w14:paraId="2EF5A32A">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966" w:type="pct"/>
            <w:noWrap w:val="0"/>
            <w:vAlign w:val="center"/>
          </w:tcPr>
          <w:p w14:paraId="3CDE994F">
            <w:pPr>
              <w:jc w:val="center"/>
              <w:rPr>
                <w:rFonts w:hint="default" w:ascii="Arial" w:hAnsi="Arial" w:cs="Arial"/>
                <w:color w:val="1F1F1F"/>
                <w:szCs w:val="21"/>
                <w:highlight w:val="none"/>
              </w:rPr>
            </w:pPr>
            <w:r>
              <w:rPr>
                <w:rFonts w:hint="default" w:ascii="Arial" w:hAnsi="Arial" w:cs="Arial"/>
                <w:color w:val="1F1F1F"/>
                <w:szCs w:val="21"/>
                <w:highlight w:val="none"/>
              </w:rPr>
              <w:t>40</w:t>
            </w:r>
          </w:p>
        </w:tc>
      </w:tr>
      <w:tr w14:paraId="19B99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4F367617">
            <w:pPr>
              <w:jc w:val="center"/>
              <w:rPr>
                <w:rFonts w:hint="default" w:ascii="Arial" w:hAnsi="Arial" w:cs="Arial"/>
                <w:color w:val="1F1F1F"/>
                <w:szCs w:val="21"/>
                <w:highlight w:val="none"/>
              </w:rPr>
            </w:pPr>
            <w:r>
              <w:rPr>
                <w:rFonts w:hint="default" w:ascii="Arial" w:hAnsi="Arial" w:cs="Arial"/>
                <w:color w:val="1F1F1F"/>
                <w:szCs w:val="21"/>
                <w:highlight w:val="none"/>
              </w:rPr>
              <w:t>150</w:t>
            </w:r>
          </w:p>
        </w:tc>
        <w:tc>
          <w:tcPr>
            <w:tcW w:w="967" w:type="pct"/>
            <w:noWrap w:val="0"/>
            <w:vAlign w:val="center"/>
          </w:tcPr>
          <w:p w14:paraId="5E247042">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36" w:type="pct"/>
            <w:noWrap w:val="0"/>
            <w:vAlign w:val="center"/>
          </w:tcPr>
          <w:p w14:paraId="2BDE306E">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61" w:type="pct"/>
            <w:noWrap w:val="0"/>
            <w:vAlign w:val="center"/>
          </w:tcPr>
          <w:p w14:paraId="4C9AF3F8">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966" w:type="pct"/>
            <w:noWrap w:val="0"/>
            <w:vAlign w:val="center"/>
          </w:tcPr>
          <w:p w14:paraId="3540F8AF">
            <w:pPr>
              <w:jc w:val="center"/>
              <w:rPr>
                <w:rFonts w:hint="default" w:ascii="Arial" w:hAnsi="Arial" w:cs="Arial"/>
                <w:color w:val="1F1F1F"/>
                <w:szCs w:val="21"/>
                <w:highlight w:val="none"/>
              </w:rPr>
            </w:pPr>
            <w:r>
              <w:rPr>
                <w:rFonts w:hint="default" w:ascii="Arial" w:hAnsi="Arial" w:cs="Arial"/>
                <w:color w:val="1F1F1F"/>
                <w:szCs w:val="21"/>
                <w:highlight w:val="none"/>
              </w:rPr>
              <w:t>50</w:t>
            </w:r>
          </w:p>
        </w:tc>
      </w:tr>
      <w:tr w14:paraId="665F9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24B06B83">
            <w:pPr>
              <w:jc w:val="center"/>
              <w:rPr>
                <w:rFonts w:hint="default" w:ascii="Arial" w:hAnsi="Arial" w:cs="Arial"/>
                <w:color w:val="1F1F1F"/>
                <w:szCs w:val="21"/>
                <w:highlight w:val="none"/>
              </w:rPr>
            </w:pPr>
            <w:r>
              <w:rPr>
                <w:rFonts w:hint="default" w:ascii="Arial" w:hAnsi="Arial" w:cs="Arial"/>
                <w:color w:val="1F1F1F"/>
                <w:szCs w:val="21"/>
                <w:highlight w:val="none"/>
              </w:rPr>
              <w:t>200</w:t>
            </w:r>
          </w:p>
        </w:tc>
        <w:tc>
          <w:tcPr>
            <w:tcW w:w="967" w:type="pct"/>
            <w:noWrap w:val="0"/>
            <w:vAlign w:val="center"/>
          </w:tcPr>
          <w:p w14:paraId="770897AD">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36" w:type="pct"/>
            <w:noWrap w:val="0"/>
            <w:vAlign w:val="center"/>
          </w:tcPr>
          <w:p w14:paraId="3BA9DEC3">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61" w:type="pct"/>
            <w:noWrap w:val="0"/>
            <w:vAlign w:val="center"/>
          </w:tcPr>
          <w:p w14:paraId="6F457253">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966" w:type="pct"/>
            <w:noWrap w:val="0"/>
            <w:vAlign w:val="center"/>
          </w:tcPr>
          <w:p w14:paraId="215F40AE">
            <w:pPr>
              <w:jc w:val="center"/>
              <w:rPr>
                <w:rFonts w:hint="default" w:ascii="Arial" w:hAnsi="Arial" w:cs="Arial"/>
                <w:color w:val="1F1F1F"/>
                <w:szCs w:val="21"/>
                <w:highlight w:val="none"/>
              </w:rPr>
            </w:pPr>
            <w:r>
              <w:rPr>
                <w:rFonts w:hint="default" w:ascii="Arial" w:hAnsi="Arial" w:cs="Arial"/>
                <w:color w:val="1F1F1F"/>
                <w:szCs w:val="21"/>
                <w:highlight w:val="none"/>
              </w:rPr>
              <w:t>50</w:t>
            </w:r>
          </w:p>
        </w:tc>
      </w:tr>
      <w:tr w14:paraId="33940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03AB3546">
            <w:pPr>
              <w:jc w:val="center"/>
              <w:rPr>
                <w:rFonts w:hint="default" w:ascii="Arial" w:hAnsi="Arial" w:cs="Arial"/>
                <w:color w:val="1F1F1F"/>
                <w:szCs w:val="21"/>
                <w:highlight w:val="none"/>
              </w:rPr>
            </w:pPr>
            <w:r>
              <w:rPr>
                <w:rFonts w:hint="default" w:ascii="Arial" w:hAnsi="Arial" w:cs="Arial"/>
                <w:color w:val="1F1F1F"/>
                <w:szCs w:val="21"/>
                <w:highlight w:val="none"/>
              </w:rPr>
              <w:t>250</w:t>
            </w:r>
          </w:p>
        </w:tc>
        <w:tc>
          <w:tcPr>
            <w:tcW w:w="967" w:type="pct"/>
            <w:noWrap w:val="0"/>
            <w:vAlign w:val="center"/>
          </w:tcPr>
          <w:p w14:paraId="0490240E">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36" w:type="pct"/>
            <w:noWrap w:val="0"/>
            <w:vAlign w:val="center"/>
          </w:tcPr>
          <w:p w14:paraId="362E35ED">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61" w:type="pct"/>
            <w:noWrap w:val="0"/>
            <w:vAlign w:val="center"/>
          </w:tcPr>
          <w:p w14:paraId="5A4B2309">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966" w:type="pct"/>
            <w:noWrap w:val="0"/>
            <w:vAlign w:val="center"/>
          </w:tcPr>
          <w:p w14:paraId="06BB8026">
            <w:pPr>
              <w:jc w:val="center"/>
              <w:rPr>
                <w:rFonts w:hint="default" w:ascii="Arial" w:hAnsi="Arial" w:cs="Arial"/>
                <w:color w:val="1F1F1F"/>
                <w:szCs w:val="21"/>
                <w:highlight w:val="none"/>
              </w:rPr>
            </w:pPr>
            <w:r>
              <w:rPr>
                <w:rFonts w:hint="default" w:ascii="Arial" w:hAnsi="Arial" w:cs="Arial"/>
                <w:color w:val="1F1F1F"/>
                <w:szCs w:val="21"/>
                <w:highlight w:val="none"/>
              </w:rPr>
              <w:t>50</w:t>
            </w:r>
          </w:p>
        </w:tc>
      </w:tr>
      <w:tr w14:paraId="2B691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5041ACFB">
            <w:pPr>
              <w:jc w:val="center"/>
              <w:rPr>
                <w:rFonts w:hint="default" w:ascii="Arial" w:hAnsi="Arial" w:cs="Arial"/>
                <w:color w:val="1F1F1F"/>
                <w:szCs w:val="21"/>
                <w:highlight w:val="none"/>
              </w:rPr>
            </w:pPr>
            <w:r>
              <w:rPr>
                <w:rFonts w:hint="default" w:ascii="Arial" w:hAnsi="Arial" w:cs="Arial"/>
                <w:color w:val="1F1F1F"/>
                <w:szCs w:val="21"/>
                <w:highlight w:val="none"/>
              </w:rPr>
              <w:t>300</w:t>
            </w:r>
          </w:p>
        </w:tc>
        <w:tc>
          <w:tcPr>
            <w:tcW w:w="967" w:type="pct"/>
            <w:noWrap w:val="0"/>
            <w:vAlign w:val="center"/>
          </w:tcPr>
          <w:p w14:paraId="3D4342FD">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36" w:type="pct"/>
            <w:noWrap w:val="0"/>
            <w:vAlign w:val="center"/>
          </w:tcPr>
          <w:p w14:paraId="4FEEE316">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61" w:type="pct"/>
            <w:noWrap w:val="0"/>
            <w:vAlign w:val="center"/>
          </w:tcPr>
          <w:p w14:paraId="2FFB464D">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966" w:type="pct"/>
            <w:noWrap w:val="0"/>
            <w:vAlign w:val="center"/>
          </w:tcPr>
          <w:p w14:paraId="6787EB59">
            <w:pPr>
              <w:jc w:val="center"/>
              <w:rPr>
                <w:rFonts w:hint="default" w:ascii="Arial" w:hAnsi="Arial" w:cs="Arial"/>
                <w:color w:val="1F1F1F"/>
                <w:szCs w:val="21"/>
                <w:highlight w:val="none"/>
              </w:rPr>
            </w:pPr>
            <w:r>
              <w:rPr>
                <w:rFonts w:hint="default" w:ascii="Arial" w:hAnsi="Arial" w:cs="Arial"/>
                <w:color w:val="1F1F1F"/>
                <w:szCs w:val="21"/>
                <w:highlight w:val="none"/>
              </w:rPr>
              <w:t>60</w:t>
            </w:r>
          </w:p>
        </w:tc>
      </w:tr>
      <w:tr w14:paraId="6514C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34842B6B">
            <w:pPr>
              <w:jc w:val="center"/>
              <w:rPr>
                <w:rFonts w:hint="default" w:ascii="Arial" w:hAnsi="Arial" w:cs="Arial"/>
                <w:color w:val="1F1F1F"/>
                <w:szCs w:val="21"/>
                <w:highlight w:val="none"/>
              </w:rPr>
            </w:pPr>
            <w:r>
              <w:rPr>
                <w:rFonts w:hint="default" w:ascii="Arial" w:hAnsi="Arial" w:cs="Arial"/>
                <w:color w:val="1F1F1F"/>
                <w:szCs w:val="21"/>
                <w:highlight w:val="none"/>
              </w:rPr>
              <w:t>400</w:t>
            </w:r>
          </w:p>
        </w:tc>
        <w:tc>
          <w:tcPr>
            <w:tcW w:w="967" w:type="pct"/>
            <w:noWrap w:val="0"/>
            <w:vAlign w:val="center"/>
          </w:tcPr>
          <w:p w14:paraId="102703DB">
            <w:pPr>
              <w:jc w:val="center"/>
              <w:rPr>
                <w:rFonts w:hint="default" w:ascii="Arial" w:hAnsi="Arial" w:cs="Arial"/>
                <w:color w:val="1F1F1F"/>
                <w:szCs w:val="21"/>
                <w:highlight w:val="none"/>
              </w:rPr>
            </w:pPr>
            <w:r>
              <w:rPr>
                <w:rFonts w:hint="default" w:ascii="Arial" w:hAnsi="Arial" w:cs="Arial"/>
                <w:color w:val="1F1F1F"/>
                <w:szCs w:val="21"/>
                <w:highlight w:val="none"/>
              </w:rPr>
              <w:t>40</w:t>
            </w:r>
          </w:p>
        </w:tc>
        <w:tc>
          <w:tcPr>
            <w:tcW w:w="1036" w:type="pct"/>
            <w:noWrap w:val="0"/>
            <w:vAlign w:val="center"/>
          </w:tcPr>
          <w:p w14:paraId="576C60D6">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61" w:type="pct"/>
            <w:noWrap w:val="0"/>
            <w:vAlign w:val="center"/>
          </w:tcPr>
          <w:p w14:paraId="0D521D1D">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966" w:type="pct"/>
            <w:noWrap w:val="0"/>
            <w:vAlign w:val="center"/>
          </w:tcPr>
          <w:p w14:paraId="21715E26">
            <w:pPr>
              <w:jc w:val="center"/>
              <w:rPr>
                <w:rFonts w:hint="default" w:ascii="Arial" w:hAnsi="Arial" w:cs="Arial"/>
                <w:color w:val="1F1F1F"/>
                <w:szCs w:val="21"/>
                <w:highlight w:val="none"/>
              </w:rPr>
            </w:pPr>
            <w:r>
              <w:rPr>
                <w:rFonts w:hint="default" w:ascii="Arial" w:hAnsi="Arial" w:cs="Arial"/>
                <w:color w:val="1F1F1F"/>
                <w:szCs w:val="21"/>
                <w:highlight w:val="none"/>
              </w:rPr>
              <w:t>60</w:t>
            </w:r>
          </w:p>
        </w:tc>
      </w:tr>
      <w:tr w14:paraId="67D55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78512D56">
            <w:pPr>
              <w:jc w:val="center"/>
              <w:rPr>
                <w:rFonts w:hint="default" w:ascii="Arial" w:hAnsi="Arial" w:cs="Arial"/>
                <w:color w:val="1F1F1F"/>
                <w:szCs w:val="21"/>
                <w:highlight w:val="none"/>
              </w:rPr>
            </w:pPr>
            <w:r>
              <w:rPr>
                <w:rFonts w:hint="default" w:ascii="Arial" w:hAnsi="Arial" w:cs="Arial"/>
                <w:color w:val="1F1F1F"/>
                <w:szCs w:val="21"/>
                <w:highlight w:val="none"/>
              </w:rPr>
              <w:t>450</w:t>
            </w:r>
          </w:p>
        </w:tc>
        <w:tc>
          <w:tcPr>
            <w:tcW w:w="967" w:type="pct"/>
            <w:noWrap w:val="0"/>
            <w:vAlign w:val="center"/>
          </w:tcPr>
          <w:p w14:paraId="0C279AD9">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36" w:type="pct"/>
            <w:noWrap w:val="0"/>
            <w:vAlign w:val="center"/>
          </w:tcPr>
          <w:p w14:paraId="4B67AAAE">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61" w:type="pct"/>
            <w:noWrap w:val="0"/>
            <w:vAlign w:val="center"/>
          </w:tcPr>
          <w:p w14:paraId="5D4DECE5">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966" w:type="pct"/>
            <w:noWrap w:val="0"/>
            <w:vAlign w:val="center"/>
          </w:tcPr>
          <w:p w14:paraId="642A6AAF">
            <w:pPr>
              <w:jc w:val="center"/>
              <w:rPr>
                <w:rFonts w:hint="default" w:ascii="Arial" w:hAnsi="Arial" w:cs="Arial"/>
                <w:color w:val="1F1F1F"/>
                <w:szCs w:val="21"/>
                <w:highlight w:val="none"/>
              </w:rPr>
            </w:pPr>
            <w:r>
              <w:rPr>
                <w:rFonts w:hint="default" w:ascii="Arial" w:hAnsi="Arial" w:cs="Arial"/>
                <w:color w:val="1F1F1F"/>
                <w:szCs w:val="21"/>
                <w:highlight w:val="none"/>
              </w:rPr>
              <w:t>60</w:t>
            </w:r>
          </w:p>
        </w:tc>
      </w:tr>
      <w:tr w14:paraId="7423F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43B9972E">
            <w:pPr>
              <w:jc w:val="center"/>
              <w:rPr>
                <w:rFonts w:hint="default" w:ascii="Arial" w:hAnsi="Arial" w:cs="Arial"/>
                <w:color w:val="1F1F1F"/>
                <w:szCs w:val="21"/>
                <w:highlight w:val="none"/>
              </w:rPr>
            </w:pPr>
            <w:r>
              <w:rPr>
                <w:rFonts w:hint="default" w:ascii="Arial" w:hAnsi="Arial" w:cs="Arial"/>
                <w:color w:val="1F1F1F"/>
                <w:szCs w:val="21"/>
                <w:highlight w:val="none"/>
              </w:rPr>
              <w:t>500</w:t>
            </w:r>
          </w:p>
        </w:tc>
        <w:tc>
          <w:tcPr>
            <w:tcW w:w="967" w:type="pct"/>
            <w:noWrap w:val="0"/>
            <w:vAlign w:val="center"/>
          </w:tcPr>
          <w:p w14:paraId="639C9AB7">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36" w:type="pct"/>
            <w:noWrap w:val="0"/>
            <w:vAlign w:val="center"/>
          </w:tcPr>
          <w:p w14:paraId="5E064402">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61" w:type="pct"/>
            <w:noWrap w:val="0"/>
            <w:vAlign w:val="center"/>
          </w:tcPr>
          <w:p w14:paraId="2D34C1F5">
            <w:pPr>
              <w:jc w:val="center"/>
              <w:rPr>
                <w:rFonts w:hint="default" w:ascii="Arial" w:hAnsi="Arial" w:cs="Arial"/>
                <w:color w:val="1F1F1F"/>
                <w:szCs w:val="21"/>
                <w:highlight w:val="none"/>
              </w:rPr>
            </w:pPr>
            <w:r>
              <w:rPr>
                <w:rFonts w:hint="default" w:ascii="Arial" w:hAnsi="Arial" w:cs="Arial"/>
                <w:color w:val="1F1F1F"/>
                <w:szCs w:val="21"/>
                <w:highlight w:val="none"/>
              </w:rPr>
              <w:t>60</w:t>
            </w:r>
          </w:p>
        </w:tc>
        <w:tc>
          <w:tcPr>
            <w:tcW w:w="966" w:type="pct"/>
            <w:noWrap w:val="0"/>
            <w:vAlign w:val="center"/>
          </w:tcPr>
          <w:p w14:paraId="3FF67556">
            <w:pPr>
              <w:jc w:val="center"/>
              <w:rPr>
                <w:rFonts w:hint="default" w:ascii="Arial" w:hAnsi="Arial" w:cs="Arial"/>
                <w:color w:val="1F1F1F"/>
                <w:szCs w:val="21"/>
                <w:highlight w:val="none"/>
              </w:rPr>
            </w:pPr>
            <w:r>
              <w:rPr>
                <w:rFonts w:hint="default" w:ascii="Arial" w:hAnsi="Arial" w:cs="Arial"/>
                <w:color w:val="1F1F1F"/>
                <w:szCs w:val="21"/>
                <w:highlight w:val="none"/>
              </w:rPr>
              <w:t>70</w:t>
            </w:r>
          </w:p>
        </w:tc>
      </w:tr>
      <w:tr w14:paraId="6D7DE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67" w:type="pct"/>
            <w:noWrap w:val="0"/>
            <w:vAlign w:val="center"/>
          </w:tcPr>
          <w:p w14:paraId="2D5B3498">
            <w:pPr>
              <w:jc w:val="center"/>
              <w:rPr>
                <w:rFonts w:hint="default" w:ascii="Arial" w:hAnsi="Arial" w:cs="Arial"/>
                <w:color w:val="1F1F1F"/>
                <w:szCs w:val="21"/>
                <w:highlight w:val="none"/>
              </w:rPr>
            </w:pPr>
            <w:r>
              <w:rPr>
                <w:rFonts w:hint="default" w:ascii="Arial" w:hAnsi="Arial" w:cs="Arial"/>
                <w:color w:val="1F1F1F"/>
                <w:szCs w:val="21"/>
                <w:highlight w:val="none"/>
              </w:rPr>
              <w:t>600</w:t>
            </w:r>
          </w:p>
        </w:tc>
        <w:tc>
          <w:tcPr>
            <w:tcW w:w="967" w:type="pct"/>
            <w:noWrap w:val="0"/>
            <w:vAlign w:val="center"/>
          </w:tcPr>
          <w:p w14:paraId="2DAA0457">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36" w:type="pct"/>
            <w:noWrap w:val="0"/>
            <w:vAlign w:val="center"/>
          </w:tcPr>
          <w:p w14:paraId="5FFCA903">
            <w:pPr>
              <w:jc w:val="center"/>
              <w:rPr>
                <w:rFonts w:hint="default" w:ascii="Arial" w:hAnsi="Arial" w:cs="Arial"/>
                <w:color w:val="1F1F1F"/>
                <w:szCs w:val="21"/>
                <w:highlight w:val="none"/>
              </w:rPr>
            </w:pPr>
            <w:r>
              <w:rPr>
                <w:rFonts w:hint="default" w:ascii="Arial" w:hAnsi="Arial" w:cs="Arial"/>
                <w:color w:val="1F1F1F"/>
                <w:szCs w:val="21"/>
                <w:highlight w:val="none"/>
              </w:rPr>
              <w:t>50</w:t>
            </w:r>
          </w:p>
        </w:tc>
        <w:tc>
          <w:tcPr>
            <w:tcW w:w="1061" w:type="pct"/>
            <w:noWrap w:val="0"/>
            <w:vAlign w:val="center"/>
          </w:tcPr>
          <w:p w14:paraId="48DCAC84">
            <w:pPr>
              <w:jc w:val="center"/>
              <w:rPr>
                <w:rFonts w:hint="default" w:ascii="Arial" w:hAnsi="Arial" w:cs="Arial"/>
                <w:color w:val="1F1F1F"/>
                <w:szCs w:val="21"/>
                <w:highlight w:val="none"/>
              </w:rPr>
            </w:pPr>
            <w:r>
              <w:rPr>
                <w:rFonts w:hint="default" w:ascii="Arial" w:hAnsi="Arial" w:cs="Arial"/>
                <w:color w:val="1F1F1F"/>
                <w:szCs w:val="21"/>
                <w:highlight w:val="none"/>
              </w:rPr>
              <w:t>60</w:t>
            </w:r>
          </w:p>
        </w:tc>
        <w:tc>
          <w:tcPr>
            <w:tcW w:w="966" w:type="pct"/>
            <w:noWrap w:val="0"/>
            <w:vAlign w:val="center"/>
          </w:tcPr>
          <w:p w14:paraId="363DB109">
            <w:pPr>
              <w:jc w:val="center"/>
              <w:rPr>
                <w:rFonts w:hint="default" w:ascii="Arial" w:hAnsi="Arial" w:cs="Arial"/>
                <w:color w:val="1F1F1F"/>
                <w:szCs w:val="21"/>
                <w:highlight w:val="none"/>
              </w:rPr>
            </w:pPr>
            <w:r>
              <w:rPr>
                <w:rFonts w:hint="default" w:ascii="Arial" w:hAnsi="Arial" w:cs="Arial"/>
                <w:color w:val="1F1F1F"/>
                <w:szCs w:val="21"/>
                <w:highlight w:val="none"/>
              </w:rPr>
              <w:t>70</w:t>
            </w:r>
          </w:p>
        </w:tc>
      </w:tr>
    </w:tbl>
    <w:p w14:paraId="23A4307A">
      <w:pPr>
        <w:pStyle w:val="6"/>
        <w:rPr>
          <w:rFonts w:hint="default" w:ascii="Arial" w:hAnsi="Arial" w:eastAsia="宋体" w:cs="Arial"/>
          <w:color w:val="auto"/>
          <w:sz w:val="5"/>
          <w:highlight w:val="none"/>
          <w:shd w:val="clear" w:color="auto" w:fill="auto"/>
        </w:rPr>
      </w:pPr>
    </w:p>
    <w:p w14:paraId="42D3626A">
      <w:pPr>
        <w:keepNext w:val="0"/>
        <w:keepLines w:val="0"/>
        <w:pageBreakBefore w:val="0"/>
        <w:widowControl/>
        <w:numPr>
          <w:ilvl w:val="0"/>
          <w:numId w:val="15"/>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lang w:val="en-US" w:eastAsia="zh-CN"/>
        </w:rPr>
      </w:pPr>
      <w:r>
        <w:rPr>
          <w:rFonts w:hint="default" w:ascii="Arial" w:hAnsi="Arial" w:eastAsia="宋体" w:cs="Arial"/>
          <w:bCs/>
          <w:color w:val="auto"/>
          <w:spacing w:val="-2"/>
          <w:sz w:val="24"/>
          <w:szCs w:val="22"/>
          <w:highlight w:val="none"/>
          <w:shd w:val="clear" w:color="auto" w:fill="auto"/>
          <w:lang w:val="en-US" w:eastAsia="zh-CN"/>
        </w:rPr>
        <w:t>保冷层</w:t>
      </w:r>
    </w:p>
    <w:p w14:paraId="43938354">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a、为减少冷量损失的保冷层，应采用经济厚度法计算厚度，保冷的经济厚度必须用防结露厚度校核；</w:t>
      </w:r>
    </w:p>
    <w:p w14:paraId="6F9CFD52">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b、为防止外表面结露的保冷层，应采用表面温度法计算厚度；</w:t>
      </w:r>
    </w:p>
    <w:p w14:paraId="7FEFD37F">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c、工艺上允许一定量冷损失的保冷层，应用热平衡法计算厚度，并校对外表面温度，且应高于露点温度 1～3℃。</w:t>
      </w:r>
    </w:p>
    <w:p w14:paraId="268D628D">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z w:val="24"/>
          <w:szCs w:val="24"/>
          <w:highlight w:val="none"/>
          <w:shd w:val="clear" w:color="auto" w:fill="auto"/>
        </w:rPr>
        <w:t>d</w:t>
      </w:r>
      <w:r>
        <w:rPr>
          <w:rFonts w:hint="default" w:ascii="Arial" w:hAnsi="Arial" w:eastAsia="宋体" w:cs="Arial"/>
          <w:color w:val="auto"/>
          <w:spacing w:val="-5"/>
          <w:sz w:val="24"/>
          <w:szCs w:val="24"/>
          <w:highlight w:val="none"/>
          <w:shd w:val="clear" w:color="auto" w:fill="auto"/>
        </w:rPr>
        <w:t xml:space="preserve">、保冷层的厚度不应小于 </w:t>
      </w:r>
      <w:r>
        <w:rPr>
          <w:rFonts w:hint="default" w:ascii="Arial" w:hAnsi="Arial" w:eastAsia="宋体" w:cs="Arial"/>
          <w:color w:val="auto"/>
          <w:sz w:val="24"/>
          <w:szCs w:val="24"/>
          <w:highlight w:val="none"/>
          <w:shd w:val="clear" w:color="auto" w:fill="auto"/>
        </w:rPr>
        <w:t xml:space="preserve">30 </w:t>
      </w:r>
      <w:r>
        <w:rPr>
          <w:rFonts w:hint="default" w:ascii="Arial" w:hAnsi="Arial" w:eastAsia="宋体" w:cs="Arial"/>
          <w:color w:val="auto"/>
          <w:spacing w:val="2"/>
          <w:sz w:val="24"/>
          <w:szCs w:val="24"/>
          <w:highlight w:val="none"/>
          <w:shd w:val="clear" w:color="auto" w:fill="auto"/>
        </w:rPr>
        <w:t>mm</w:t>
      </w:r>
      <w:r>
        <w:rPr>
          <w:rFonts w:hint="default" w:ascii="Arial" w:hAnsi="Arial" w:eastAsia="宋体" w:cs="Arial"/>
          <w:color w:val="auto"/>
          <w:spacing w:val="-15"/>
          <w:sz w:val="24"/>
          <w:szCs w:val="24"/>
          <w:highlight w:val="none"/>
          <w:shd w:val="clear" w:color="auto" w:fill="auto"/>
        </w:rPr>
        <w:t xml:space="preserve">，且按 </w:t>
      </w:r>
      <w:r>
        <w:rPr>
          <w:rFonts w:hint="default" w:ascii="Arial" w:hAnsi="Arial" w:eastAsia="宋体" w:cs="Arial"/>
          <w:color w:val="auto"/>
          <w:sz w:val="24"/>
          <w:szCs w:val="24"/>
          <w:highlight w:val="none"/>
          <w:shd w:val="clear" w:color="auto" w:fill="auto"/>
        </w:rPr>
        <w:t xml:space="preserve">10 mm </w:t>
      </w:r>
      <w:r>
        <w:rPr>
          <w:rFonts w:hint="default" w:ascii="Arial" w:hAnsi="Arial" w:eastAsia="宋体" w:cs="Arial"/>
          <w:color w:val="auto"/>
          <w:spacing w:val="3"/>
          <w:sz w:val="24"/>
          <w:szCs w:val="24"/>
          <w:highlight w:val="none"/>
          <w:shd w:val="clear" w:color="auto" w:fill="auto"/>
        </w:rPr>
        <w:t>递增。硬质泡沫塑料保</w:t>
      </w:r>
      <w:r>
        <w:rPr>
          <w:rFonts w:hint="default" w:ascii="Arial" w:hAnsi="Arial" w:eastAsia="宋体" w:cs="Arial"/>
          <w:color w:val="auto"/>
          <w:spacing w:val="-1"/>
          <w:sz w:val="24"/>
          <w:szCs w:val="24"/>
          <w:highlight w:val="none"/>
          <w:shd w:val="clear" w:color="auto" w:fill="auto"/>
        </w:rPr>
        <w:t xml:space="preserve">冷材料的最小厚度为 </w:t>
      </w:r>
      <w:r>
        <w:rPr>
          <w:rFonts w:hint="default" w:ascii="Arial" w:hAnsi="Arial" w:eastAsia="宋体" w:cs="Arial"/>
          <w:color w:val="auto"/>
          <w:sz w:val="24"/>
          <w:szCs w:val="24"/>
          <w:highlight w:val="none"/>
          <w:shd w:val="clear" w:color="auto" w:fill="auto"/>
        </w:rPr>
        <w:t>30mm。除浇注型和填充型绝热材料，在无其他说明的</w:t>
      </w:r>
      <w:r>
        <w:rPr>
          <w:rFonts w:hint="default" w:ascii="Arial" w:hAnsi="Arial" w:eastAsia="宋体" w:cs="Arial"/>
          <w:color w:val="auto"/>
          <w:spacing w:val="-3"/>
          <w:sz w:val="24"/>
          <w:szCs w:val="24"/>
          <w:highlight w:val="none"/>
          <w:shd w:val="clear" w:color="auto" w:fill="auto"/>
        </w:rPr>
        <w:t xml:space="preserve">情况下，当采用一种绝热制品，保冷层厚度大于等于 </w:t>
      </w:r>
      <w:r>
        <w:rPr>
          <w:rFonts w:hint="default" w:ascii="Arial" w:hAnsi="Arial" w:eastAsia="宋体" w:cs="Arial"/>
          <w:color w:val="auto"/>
          <w:sz w:val="24"/>
          <w:szCs w:val="24"/>
          <w:highlight w:val="none"/>
          <w:shd w:val="clear" w:color="auto" w:fill="auto"/>
        </w:rPr>
        <w:t>80mm 时，应分为两层</w:t>
      </w:r>
      <w:r>
        <w:rPr>
          <w:rFonts w:hint="default" w:ascii="Arial" w:hAnsi="Arial" w:eastAsia="宋体" w:cs="Arial"/>
          <w:color w:val="auto"/>
          <w:spacing w:val="-3"/>
          <w:sz w:val="24"/>
          <w:szCs w:val="24"/>
          <w:highlight w:val="none"/>
          <w:shd w:val="clear" w:color="auto" w:fill="auto"/>
        </w:rPr>
        <w:t>或多层逐层施工，各层厚度宜相近，缝隙应互相错开。</w:t>
      </w:r>
    </w:p>
    <w:p w14:paraId="7256D4EB">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e、保温结构参见SH/T 3522-2003《石油化工隔热工程施工工艺标准</w:t>
      </w:r>
      <w:r>
        <w:rPr>
          <w:rFonts w:hint="default" w:ascii="Arial" w:hAnsi="Arial" w:eastAsia="宋体" w:cs="Arial"/>
          <w:color w:val="auto"/>
          <w:sz w:val="24"/>
          <w:szCs w:val="24"/>
          <w:highlight w:val="none"/>
          <w:shd w:val="clear" w:color="auto" w:fill="auto"/>
          <w:lang w:eastAsia="zh-CN"/>
        </w:rPr>
        <w:t>》</w:t>
      </w:r>
      <w:r>
        <w:rPr>
          <w:rFonts w:hint="default" w:ascii="Arial" w:hAnsi="Arial" w:eastAsia="宋体" w:cs="Arial"/>
          <w:color w:val="auto"/>
          <w:sz w:val="24"/>
          <w:szCs w:val="24"/>
          <w:highlight w:val="none"/>
          <w:shd w:val="clear" w:color="auto" w:fill="auto"/>
        </w:rPr>
        <w:t>的要求执行。</w:t>
      </w:r>
    </w:p>
    <w:p w14:paraId="17BF0179">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pacing w:val="-3"/>
          <w:sz w:val="24"/>
          <w:szCs w:val="24"/>
          <w:highlight w:val="none"/>
          <w:shd w:val="clear" w:color="auto" w:fill="auto"/>
        </w:rPr>
      </w:pPr>
      <w:r>
        <w:rPr>
          <w:rFonts w:hint="default" w:ascii="Arial" w:hAnsi="Arial" w:eastAsia="宋体" w:cs="Arial"/>
          <w:color w:val="auto"/>
          <w:sz w:val="24"/>
          <w:szCs w:val="24"/>
          <w:highlight w:val="none"/>
          <w:shd w:val="clear" w:color="auto" w:fill="auto"/>
          <w:lang w:val="en-US" w:eastAsia="zh-CN"/>
        </w:rPr>
        <w:t>f</w:t>
      </w:r>
      <w:r>
        <w:rPr>
          <w:rFonts w:hint="default" w:ascii="Arial" w:hAnsi="Arial" w:eastAsia="宋体" w:cs="Arial"/>
          <w:color w:val="auto"/>
          <w:sz w:val="24"/>
          <w:szCs w:val="24"/>
          <w:highlight w:val="none"/>
          <w:shd w:val="clear" w:color="auto" w:fill="auto"/>
        </w:rPr>
        <w:t>、保冷结构参见SH/T 3522-2003《石油化工隔热工程施工工艺标准</w:t>
      </w:r>
      <w:r>
        <w:rPr>
          <w:rFonts w:hint="default" w:ascii="Arial" w:hAnsi="Arial" w:eastAsia="宋体" w:cs="Arial"/>
          <w:color w:val="auto"/>
          <w:sz w:val="24"/>
          <w:szCs w:val="24"/>
          <w:highlight w:val="none"/>
          <w:shd w:val="clear" w:color="auto" w:fill="auto"/>
          <w:lang w:eastAsia="zh-CN"/>
        </w:rPr>
        <w:t>》</w:t>
      </w:r>
      <w:r>
        <w:rPr>
          <w:rFonts w:hint="default" w:ascii="Arial" w:hAnsi="Arial" w:eastAsia="宋体" w:cs="Arial"/>
          <w:color w:val="auto"/>
          <w:sz w:val="24"/>
          <w:szCs w:val="24"/>
          <w:highlight w:val="none"/>
          <w:shd w:val="clear" w:color="auto" w:fill="auto"/>
        </w:rPr>
        <w:t>的要求执行。</w:t>
      </w:r>
    </w:p>
    <w:p w14:paraId="04498C9A">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lang w:val="en-US" w:eastAsia="zh-CN"/>
        </w:rPr>
        <w:t>g</w:t>
      </w:r>
      <w:r>
        <w:rPr>
          <w:rFonts w:hint="default" w:ascii="Arial" w:hAnsi="Arial" w:eastAsia="宋体" w:cs="Arial"/>
          <w:color w:val="auto"/>
          <w:sz w:val="24"/>
          <w:szCs w:val="24"/>
          <w:highlight w:val="none"/>
          <w:shd w:val="clear" w:color="auto" w:fill="auto"/>
        </w:rPr>
        <w:t>、硬质聚氨酯泡沫塑料制品的保冷厚度可按表 3.2.9-2 选取。</w:t>
      </w:r>
    </w:p>
    <w:p w14:paraId="311F26A4">
      <w:pPr>
        <w:spacing w:before="67" w:after="2"/>
        <w:ind w:left="1612" w:right="0" w:firstLine="0"/>
        <w:jc w:val="left"/>
        <w:rPr>
          <w:rFonts w:hint="default" w:ascii="Arial" w:hAnsi="Arial" w:eastAsia="宋体" w:cs="Arial"/>
          <w:color w:val="auto"/>
          <w:sz w:val="24"/>
          <w:highlight w:val="none"/>
          <w:shd w:val="clear" w:color="auto" w:fill="auto"/>
        </w:rPr>
      </w:pPr>
      <w:r>
        <w:rPr>
          <w:rFonts w:hint="default" w:ascii="Arial" w:hAnsi="Arial" w:eastAsia="宋体" w:cs="Arial"/>
          <w:color w:val="auto"/>
          <w:sz w:val="24"/>
          <w:highlight w:val="none"/>
          <w:shd w:val="clear" w:color="auto" w:fill="auto"/>
        </w:rPr>
        <w:t>表 3.2.9-2：管道和设备保冷层厚度选用-硬质聚氨酯泡沫塑料</w:t>
      </w:r>
    </w:p>
    <w:tbl>
      <w:tblPr>
        <w:tblStyle w:val="11"/>
        <w:tblW w:w="0" w:type="auto"/>
        <w:tblInd w:w="633" w:type="dxa"/>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48"/>
        <w:gridCol w:w="568"/>
        <w:gridCol w:w="709"/>
        <w:gridCol w:w="798"/>
        <w:gridCol w:w="888"/>
        <w:gridCol w:w="1061"/>
        <w:gridCol w:w="848"/>
        <w:gridCol w:w="955"/>
        <w:gridCol w:w="1091"/>
      </w:tblGrid>
      <w:tr w14:paraId="08E6D8E4">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1926FE0">
            <w:pPr>
              <w:jc w:val="center"/>
              <w:rPr>
                <w:rFonts w:hint="default" w:ascii="Arial" w:hAnsi="Arial" w:eastAsia="宋体" w:cs="Arial"/>
                <w:sz w:val="21"/>
                <w:szCs w:val="21"/>
              </w:rPr>
            </w:pPr>
            <w:r>
              <w:rPr>
                <w:rFonts w:hint="default" w:ascii="Arial" w:hAnsi="Arial" w:eastAsia="宋体" w:cs="Arial"/>
                <w:sz w:val="21"/>
                <w:szCs w:val="21"/>
              </w:rPr>
              <w:t>操作温度 (℃)</w:t>
            </w:r>
          </w:p>
        </w:tc>
        <w:tc>
          <w:tcPr>
            <w:tcW w:w="568" w:type="dxa"/>
            <w:tcBorders>
              <w:tl2br w:val="nil"/>
              <w:tr2bl w:val="nil"/>
            </w:tcBorders>
            <w:noWrap w:val="0"/>
            <w:vAlign w:val="center"/>
          </w:tcPr>
          <w:p w14:paraId="54078D54">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072BB13D">
            <w:pPr>
              <w:jc w:val="center"/>
              <w:rPr>
                <w:rFonts w:hint="default" w:ascii="Arial" w:hAnsi="Arial" w:eastAsia="宋体" w:cs="Arial"/>
                <w:sz w:val="21"/>
                <w:szCs w:val="21"/>
              </w:rPr>
            </w:pPr>
            <w:r>
              <w:rPr>
                <w:rFonts w:hint="default" w:ascii="Arial" w:hAnsi="Arial" w:eastAsia="宋体" w:cs="Arial"/>
                <w:sz w:val="21"/>
                <w:szCs w:val="21"/>
              </w:rPr>
              <w:t>20</w:t>
            </w:r>
          </w:p>
        </w:tc>
        <w:tc>
          <w:tcPr>
            <w:tcW w:w="798" w:type="dxa"/>
            <w:tcBorders>
              <w:tl2br w:val="nil"/>
              <w:tr2bl w:val="nil"/>
            </w:tcBorders>
            <w:noWrap w:val="0"/>
            <w:vAlign w:val="center"/>
          </w:tcPr>
          <w:p w14:paraId="460CBC9F">
            <w:pPr>
              <w:jc w:val="center"/>
              <w:rPr>
                <w:rFonts w:hint="default" w:ascii="Arial" w:hAnsi="Arial" w:eastAsia="宋体" w:cs="Arial"/>
                <w:sz w:val="21"/>
                <w:szCs w:val="21"/>
              </w:rPr>
            </w:pPr>
            <w:r>
              <w:rPr>
                <w:rFonts w:hint="default" w:ascii="Arial" w:hAnsi="Arial" w:eastAsia="宋体" w:cs="Arial"/>
                <w:sz w:val="21"/>
                <w:szCs w:val="21"/>
              </w:rPr>
              <w:t>10</w:t>
            </w:r>
          </w:p>
        </w:tc>
        <w:tc>
          <w:tcPr>
            <w:tcW w:w="888" w:type="dxa"/>
            <w:tcBorders>
              <w:tl2br w:val="nil"/>
              <w:tr2bl w:val="nil"/>
            </w:tcBorders>
            <w:noWrap w:val="0"/>
            <w:vAlign w:val="center"/>
          </w:tcPr>
          <w:p w14:paraId="0EE8AF2A">
            <w:pPr>
              <w:jc w:val="center"/>
              <w:rPr>
                <w:rFonts w:hint="default" w:ascii="Arial" w:hAnsi="Arial" w:eastAsia="宋体" w:cs="Arial"/>
                <w:sz w:val="21"/>
                <w:szCs w:val="21"/>
              </w:rPr>
            </w:pPr>
            <w:r>
              <w:rPr>
                <w:rFonts w:hint="default" w:ascii="Arial" w:hAnsi="Arial" w:eastAsia="宋体" w:cs="Arial"/>
                <w:sz w:val="21"/>
                <w:szCs w:val="21"/>
              </w:rPr>
              <w:t>0</w:t>
            </w:r>
          </w:p>
        </w:tc>
        <w:tc>
          <w:tcPr>
            <w:tcW w:w="1061" w:type="dxa"/>
            <w:tcBorders>
              <w:tl2br w:val="nil"/>
              <w:tr2bl w:val="nil"/>
            </w:tcBorders>
            <w:noWrap w:val="0"/>
            <w:vAlign w:val="center"/>
          </w:tcPr>
          <w:p w14:paraId="07BB0E27">
            <w:pPr>
              <w:jc w:val="center"/>
              <w:rPr>
                <w:rFonts w:hint="default" w:ascii="Arial" w:hAnsi="Arial" w:eastAsia="宋体" w:cs="Arial"/>
                <w:sz w:val="21"/>
                <w:szCs w:val="21"/>
              </w:rPr>
            </w:pPr>
            <w:r>
              <w:rPr>
                <w:rFonts w:hint="default" w:ascii="Arial" w:hAnsi="Arial" w:eastAsia="宋体" w:cs="Arial"/>
                <w:sz w:val="21"/>
                <w:szCs w:val="21"/>
              </w:rPr>
              <w:t>-10</w:t>
            </w:r>
          </w:p>
        </w:tc>
        <w:tc>
          <w:tcPr>
            <w:tcW w:w="848" w:type="dxa"/>
            <w:tcBorders>
              <w:tl2br w:val="nil"/>
              <w:tr2bl w:val="nil"/>
            </w:tcBorders>
            <w:noWrap w:val="0"/>
            <w:vAlign w:val="center"/>
          </w:tcPr>
          <w:p w14:paraId="3526AF64">
            <w:pPr>
              <w:jc w:val="center"/>
              <w:rPr>
                <w:rFonts w:hint="default" w:ascii="Arial" w:hAnsi="Arial" w:eastAsia="宋体" w:cs="Arial"/>
                <w:sz w:val="21"/>
                <w:szCs w:val="21"/>
              </w:rPr>
            </w:pPr>
            <w:r>
              <w:rPr>
                <w:rFonts w:hint="default" w:ascii="Arial" w:hAnsi="Arial" w:eastAsia="宋体" w:cs="Arial"/>
                <w:sz w:val="21"/>
                <w:szCs w:val="21"/>
              </w:rPr>
              <w:t>-20</w:t>
            </w:r>
          </w:p>
        </w:tc>
        <w:tc>
          <w:tcPr>
            <w:tcW w:w="955" w:type="dxa"/>
            <w:tcBorders>
              <w:tl2br w:val="nil"/>
              <w:tr2bl w:val="nil"/>
            </w:tcBorders>
            <w:noWrap w:val="0"/>
            <w:vAlign w:val="center"/>
          </w:tcPr>
          <w:p w14:paraId="3D7343CC">
            <w:pPr>
              <w:jc w:val="center"/>
              <w:rPr>
                <w:rFonts w:hint="default" w:ascii="Arial" w:hAnsi="Arial" w:eastAsia="宋体" w:cs="Arial"/>
                <w:sz w:val="21"/>
                <w:szCs w:val="21"/>
              </w:rPr>
            </w:pPr>
            <w:r>
              <w:rPr>
                <w:rFonts w:hint="default" w:ascii="Arial" w:hAnsi="Arial" w:eastAsia="宋体" w:cs="Arial"/>
                <w:sz w:val="21"/>
                <w:szCs w:val="21"/>
              </w:rPr>
              <w:t>-30</w:t>
            </w:r>
          </w:p>
        </w:tc>
        <w:tc>
          <w:tcPr>
            <w:tcW w:w="1091" w:type="dxa"/>
            <w:tcBorders>
              <w:tl2br w:val="nil"/>
              <w:tr2bl w:val="nil"/>
            </w:tcBorders>
            <w:noWrap w:val="0"/>
            <w:vAlign w:val="center"/>
          </w:tcPr>
          <w:p w14:paraId="6DD35F20">
            <w:pPr>
              <w:jc w:val="center"/>
              <w:rPr>
                <w:rFonts w:hint="default" w:ascii="Arial" w:hAnsi="Arial" w:eastAsia="宋体" w:cs="Arial"/>
                <w:sz w:val="21"/>
                <w:szCs w:val="21"/>
              </w:rPr>
            </w:pPr>
            <w:r>
              <w:rPr>
                <w:rFonts w:hint="default" w:ascii="Arial" w:hAnsi="Arial" w:eastAsia="宋体" w:cs="Arial"/>
                <w:sz w:val="21"/>
                <w:szCs w:val="21"/>
              </w:rPr>
              <w:t>-40</w:t>
            </w:r>
          </w:p>
        </w:tc>
      </w:tr>
      <w:tr w14:paraId="23EF0BA0">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601AE86D">
            <w:pPr>
              <w:jc w:val="center"/>
              <w:rPr>
                <w:rFonts w:hint="default" w:ascii="Arial" w:hAnsi="Arial" w:eastAsia="宋体" w:cs="Arial"/>
                <w:sz w:val="21"/>
                <w:szCs w:val="21"/>
              </w:rPr>
            </w:pPr>
            <w:r>
              <w:rPr>
                <w:rFonts w:hint="default" w:ascii="Arial" w:hAnsi="Arial" w:eastAsia="宋体" w:cs="Arial"/>
                <w:sz w:val="21"/>
                <w:szCs w:val="21"/>
              </w:rPr>
              <w:t>DN(mm)</w:t>
            </w:r>
          </w:p>
        </w:tc>
        <w:tc>
          <w:tcPr>
            <w:tcW w:w="6918" w:type="dxa"/>
            <w:gridSpan w:val="8"/>
            <w:tcBorders>
              <w:tl2br w:val="nil"/>
              <w:tr2bl w:val="nil"/>
            </w:tcBorders>
            <w:noWrap w:val="0"/>
            <w:vAlign w:val="center"/>
          </w:tcPr>
          <w:p w14:paraId="48A52FA2">
            <w:pPr>
              <w:jc w:val="center"/>
              <w:rPr>
                <w:rFonts w:hint="default" w:ascii="Arial" w:hAnsi="Arial" w:eastAsia="宋体" w:cs="Arial"/>
                <w:sz w:val="21"/>
                <w:szCs w:val="21"/>
              </w:rPr>
            </w:pPr>
            <w:r>
              <w:rPr>
                <w:rFonts w:hint="default" w:ascii="Arial" w:hAnsi="Arial" w:eastAsia="宋体" w:cs="Arial"/>
                <w:sz w:val="21"/>
                <w:szCs w:val="21"/>
              </w:rPr>
              <w:t>厚度（mm）</w:t>
            </w:r>
          </w:p>
        </w:tc>
      </w:tr>
      <w:tr w14:paraId="6E7CB37E">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5FC665E">
            <w:pPr>
              <w:jc w:val="center"/>
              <w:rPr>
                <w:rFonts w:hint="default" w:ascii="Arial" w:hAnsi="Arial" w:eastAsia="宋体" w:cs="Arial"/>
                <w:sz w:val="21"/>
                <w:szCs w:val="21"/>
              </w:rPr>
            </w:pPr>
            <w:r>
              <w:rPr>
                <w:rFonts w:hint="default" w:ascii="Arial" w:hAnsi="Arial" w:eastAsia="宋体" w:cs="Arial"/>
                <w:sz w:val="21"/>
                <w:szCs w:val="21"/>
              </w:rPr>
              <w:t>15</w:t>
            </w:r>
          </w:p>
        </w:tc>
        <w:tc>
          <w:tcPr>
            <w:tcW w:w="568" w:type="dxa"/>
            <w:tcBorders>
              <w:tl2br w:val="nil"/>
              <w:tr2bl w:val="nil"/>
            </w:tcBorders>
            <w:noWrap w:val="0"/>
            <w:vAlign w:val="center"/>
          </w:tcPr>
          <w:p w14:paraId="66A2384C">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AA1EB01">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063C2C03">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14A6FA3F">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7D2263A7">
            <w:pPr>
              <w:jc w:val="center"/>
              <w:rPr>
                <w:rFonts w:hint="default" w:ascii="Arial" w:hAnsi="Arial" w:eastAsia="宋体" w:cs="Arial"/>
                <w:sz w:val="21"/>
                <w:szCs w:val="21"/>
              </w:rPr>
            </w:pPr>
            <w:r>
              <w:rPr>
                <w:rFonts w:hint="default" w:ascii="Arial" w:hAnsi="Arial" w:eastAsia="宋体" w:cs="Arial"/>
                <w:sz w:val="21"/>
                <w:szCs w:val="21"/>
              </w:rPr>
              <w:t>30</w:t>
            </w:r>
          </w:p>
        </w:tc>
        <w:tc>
          <w:tcPr>
            <w:tcW w:w="848" w:type="dxa"/>
            <w:tcBorders>
              <w:tl2br w:val="nil"/>
              <w:tr2bl w:val="nil"/>
            </w:tcBorders>
            <w:noWrap w:val="0"/>
            <w:vAlign w:val="center"/>
          </w:tcPr>
          <w:p w14:paraId="2F7FB5FC">
            <w:pPr>
              <w:jc w:val="center"/>
              <w:rPr>
                <w:rFonts w:hint="default" w:ascii="Arial" w:hAnsi="Arial" w:eastAsia="宋体" w:cs="Arial"/>
                <w:sz w:val="21"/>
                <w:szCs w:val="21"/>
              </w:rPr>
            </w:pPr>
            <w:r>
              <w:rPr>
                <w:rFonts w:hint="default" w:ascii="Arial" w:hAnsi="Arial" w:eastAsia="宋体" w:cs="Arial"/>
                <w:sz w:val="21"/>
                <w:szCs w:val="21"/>
              </w:rPr>
              <w:t>30</w:t>
            </w:r>
          </w:p>
        </w:tc>
        <w:tc>
          <w:tcPr>
            <w:tcW w:w="955" w:type="dxa"/>
            <w:tcBorders>
              <w:tl2br w:val="nil"/>
              <w:tr2bl w:val="nil"/>
            </w:tcBorders>
            <w:noWrap w:val="0"/>
            <w:vAlign w:val="center"/>
          </w:tcPr>
          <w:p w14:paraId="57254050">
            <w:pPr>
              <w:jc w:val="center"/>
              <w:rPr>
                <w:rFonts w:hint="default" w:ascii="Arial" w:hAnsi="Arial" w:eastAsia="宋体" w:cs="Arial"/>
                <w:sz w:val="21"/>
                <w:szCs w:val="21"/>
              </w:rPr>
            </w:pPr>
            <w:r>
              <w:rPr>
                <w:rFonts w:hint="default" w:ascii="Arial" w:hAnsi="Arial" w:eastAsia="宋体" w:cs="Arial"/>
                <w:sz w:val="21"/>
                <w:szCs w:val="21"/>
              </w:rPr>
              <w:t>40</w:t>
            </w:r>
          </w:p>
        </w:tc>
        <w:tc>
          <w:tcPr>
            <w:tcW w:w="1091" w:type="dxa"/>
            <w:tcBorders>
              <w:tl2br w:val="nil"/>
              <w:tr2bl w:val="nil"/>
            </w:tcBorders>
            <w:noWrap w:val="0"/>
            <w:vAlign w:val="center"/>
          </w:tcPr>
          <w:p w14:paraId="088ED5C3">
            <w:pPr>
              <w:jc w:val="center"/>
              <w:rPr>
                <w:rFonts w:hint="default" w:ascii="Arial" w:hAnsi="Arial" w:eastAsia="宋体" w:cs="Arial"/>
                <w:sz w:val="21"/>
                <w:szCs w:val="21"/>
              </w:rPr>
            </w:pPr>
            <w:r>
              <w:rPr>
                <w:rFonts w:hint="default" w:ascii="Arial" w:hAnsi="Arial" w:eastAsia="宋体" w:cs="Arial"/>
                <w:sz w:val="21"/>
                <w:szCs w:val="21"/>
              </w:rPr>
              <w:t>40</w:t>
            </w:r>
          </w:p>
        </w:tc>
      </w:tr>
      <w:tr w14:paraId="2AB4C6C7">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7CE9894B">
            <w:pPr>
              <w:jc w:val="center"/>
              <w:rPr>
                <w:rFonts w:hint="default" w:ascii="Arial" w:hAnsi="Arial" w:eastAsia="宋体" w:cs="Arial"/>
                <w:sz w:val="21"/>
                <w:szCs w:val="21"/>
              </w:rPr>
            </w:pPr>
            <w:r>
              <w:rPr>
                <w:rFonts w:hint="default" w:ascii="Arial" w:hAnsi="Arial" w:eastAsia="宋体" w:cs="Arial"/>
                <w:sz w:val="21"/>
                <w:szCs w:val="21"/>
              </w:rPr>
              <w:t>20</w:t>
            </w:r>
          </w:p>
        </w:tc>
        <w:tc>
          <w:tcPr>
            <w:tcW w:w="568" w:type="dxa"/>
            <w:tcBorders>
              <w:tl2br w:val="nil"/>
              <w:tr2bl w:val="nil"/>
            </w:tcBorders>
            <w:noWrap w:val="0"/>
            <w:vAlign w:val="center"/>
          </w:tcPr>
          <w:p w14:paraId="5C913A0C">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37CE385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05AB169">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3A13C9AF">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66070536">
            <w:pPr>
              <w:jc w:val="center"/>
              <w:rPr>
                <w:rFonts w:hint="default" w:ascii="Arial" w:hAnsi="Arial" w:eastAsia="宋体" w:cs="Arial"/>
                <w:sz w:val="21"/>
                <w:szCs w:val="21"/>
              </w:rPr>
            </w:pPr>
            <w:r>
              <w:rPr>
                <w:rFonts w:hint="default" w:ascii="Arial" w:hAnsi="Arial" w:eastAsia="宋体" w:cs="Arial"/>
                <w:sz w:val="21"/>
                <w:szCs w:val="21"/>
              </w:rPr>
              <w:t>30</w:t>
            </w:r>
          </w:p>
        </w:tc>
        <w:tc>
          <w:tcPr>
            <w:tcW w:w="848" w:type="dxa"/>
            <w:tcBorders>
              <w:tl2br w:val="nil"/>
              <w:tr2bl w:val="nil"/>
            </w:tcBorders>
            <w:noWrap w:val="0"/>
            <w:vAlign w:val="center"/>
          </w:tcPr>
          <w:p w14:paraId="6EF32EEB">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3572FE2A">
            <w:pPr>
              <w:jc w:val="center"/>
              <w:rPr>
                <w:rFonts w:hint="default" w:ascii="Arial" w:hAnsi="Arial" w:eastAsia="宋体" w:cs="Arial"/>
                <w:sz w:val="21"/>
                <w:szCs w:val="21"/>
              </w:rPr>
            </w:pPr>
            <w:r>
              <w:rPr>
                <w:rFonts w:hint="default" w:ascii="Arial" w:hAnsi="Arial" w:eastAsia="宋体" w:cs="Arial"/>
                <w:sz w:val="21"/>
                <w:szCs w:val="21"/>
              </w:rPr>
              <w:t>40</w:t>
            </w:r>
          </w:p>
        </w:tc>
        <w:tc>
          <w:tcPr>
            <w:tcW w:w="1091" w:type="dxa"/>
            <w:tcBorders>
              <w:tl2br w:val="nil"/>
              <w:tr2bl w:val="nil"/>
            </w:tcBorders>
            <w:noWrap w:val="0"/>
            <w:vAlign w:val="center"/>
          </w:tcPr>
          <w:p w14:paraId="52901916">
            <w:pPr>
              <w:jc w:val="center"/>
              <w:rPr>
                <w:rFonts w:hint="default" w:ascii="Arial" w:hAnsi="Arial" w:eastAsia="宋体" w:cs="Arial"/>
                <w:sz w:val="21"/>
                <w:szCs w:val="21"/>
              </w:rPr>
            </w:pPr>
            <w:r>
              <w:rPr>
                <w:rFonts w:hint="default" w:ascii="Arial" w:hAnsi="Arial" w:eastAsia="宋体" w:cs="Arial"/>
                <w:sz w:val="21"/>
                <w:szCs w:val="21"/>
              </w:rPr>
              <w:t>40</w:t>
            </w:r>
          </w:p>
        </w:tc>
      </w:tr>
      <w:tr w14:paraId="660F4B7C">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448" w:type="dxa"/>
            <w:tcBorders>
              <w:tl2br w:val="nil"/>
              <w:tr2bl w:val="nil"/>
            </w:tcBorders>
            <w:noWrap w:val="0"/>
            <w:vAlign w:val="center"/>
          </w:tcPr>
          <w:p w14:paraId="46FF4004">
            <w:pPr>
              <w:jc w:val="center"/>
              <w:rPr>
                <w:rFonts w:hint="default" w:ascii="Arial" w:hAnsi="Arial" w:eastAsia="宋体" w:cs="Arial"/>
                <w:sz w:val="21"/>
                <w:szCs w:val="21"/>
              </w:rPr>
            </w:pPr>
            <w:r>
              <w:rPr>
                <w:rFonts w:hint="default" w:ascii="Arial" w:hAnsi="Arial" w:eastAsia="宋体" w:cs="Arial"/>
                <w:sz w:val="21"/>
                <w:szCs w:val="21"/>
              </w:rPr>
              <w:t>25</w:t>
            </w:r>
          </w:p>
        </w:tc>
        <w:tc>
          <w:tcPr>
            <w:tcW w:w="568" w:type="dxa"/>
            <w:tcBorders>
              <w:tl2br w:val="nil"/>
              <w:tr2bl w:val="nil"/>
            </w:tcBorders>
            <w:noWrap w:val="0"/>
            <w:vAlign w:val="center"/>
          </w:tcPr>
          <w:p w14:paraId="36889C96">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2FCCAAC4">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1BC969F4">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7B2BD845">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B1F3974">
            <w:pPr>
              <w:jc w:val="center"/>
              <w:rPr>
                <w:rFonts w:hint="default" w:ascii="Arial" w:hAnsi="Arial" w:eastAsia="宋体" w:cs="Arial"/>
                <w:sz w:val="21"/>
                <w:szCs w:val="21"/>
              </w:rPr>
            </w:pPr>
            <w:r>
              <w:rPr>
                <w:rFonts w:hint="default" w:ascii="Arial" w:hAnsi="Arial" w:eastAsia="宋体" w:cs="Arial"/>
                <w:sz w:val="21"/>
                <w:szCs w:val="21"/>
              </w:rPr>
              <w:t>30</w:t>
            </w:r>
          </w:p>
        </w:tc>
        <w:tc>
          <w:tcPr>
            <w:tcW w:w="848" w:type="dxa"/>
            <w:tcBorders>
              <w:tl2br w:val="nil"/>
              <w:tr2bl w:val="nil"/>
            </w:tcBorders>
            <w:noWrap w:val="0"/>
            <w:vAlign w:val="center"/>
          </w:tcPr>
          <w:p w14:paraId="73670119">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1DCA98AD">
            <w:pPr>
              <w:jc w:val="center"/>
              <w:rPr>
                <w:rFonts w:hint="default" w:ascii="Arial" w:hAnsi="Arial" w:eastAsia="宋体" w:cs="Arial"/>
                <w:sz w:val="21"/>
                <w:szCs w:val="21"/>
              </w:rPr>
            </w:pPr>
            <w:r>
              <w:rPr>
                <w:rFonts w:hint="default" w:ascii="Arial" w:hAnsi="Arial" w:eastAsia="宋体" w:cs="Arial"/>
                <w:sz w:val="21"/>
                <w:szCs w:val="21"/>
              </w:rPr>
              <w:t>40</w:t>
            </w:r>
          </w:p>
        </w:tc>
        <w:tc>
          <w:tcPr>
            <w:tcW w:w="1091" w:type="dxa"/>
            <w:tcBorders>
              <w:tl2br w:val="nil"/>
              <w:tr2bl w:val="nil"/>
            </w:tcBorders>
            <w:noWrap w:val="0"/>
            <w:vAlign w:val="center"/>
          </w:tcPr>
          <w:p w14:paraId="39C36D7D">
            <w:pPr>
              <w:jc w:val="center"/>
              <w:rPr>
                <w:rFonts w:hint="default" w:ascii="Arial" w:hAnsi="Arial" w:eastAsia="宋体" w:cs="Arial"/>
                <w:sz w:val="21"/>
                <w:szCs w:val="21"/>
              </w:rPr>
            </w:pPr>
            <w:r>
              <w:rPr>
                <w:rFonts w:hint="default" w:ascii="Arial" w:hAnsi="Arial" w:eastAsia="宋体" w:cs="Arial"/>
                <w:sz w:val="21"/>
                <w:szCs w:val="21"/>
              </w:rPr>
              <w:t>50</w:t>
            </w:r>
          </w:p>
        </w:tc>
      </w:tr>
      <w:tr w14:paraId="2F5C5E8C">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4F80D58">
            <w:pPr>
              <w:jc w:val="center"/>
              <w:rPr>
                <w:rFonts w:hint="default" w:ascii="Arial" w:hAnsi="Arial" w:eastAsia="宋体" w:cs="Arial"/>
                <w:sz w:val="21"/>
                <w:szCs w:val="21"/>
              </w:rPr>
            </w:pPr>
            <w:r>
              <w:rPr>
                <w:rFonts w:hint="default" w:ascii="Arial" w:hAnsi="Arial" w:eastAsia="宋体" w:cs="Arial"/>
                <w:sz w:val="21"/>
                <w:szCs w:val="21"/>
              </w:rPr>
              <w:t>32</w:t>
            </w:r>
          </w:p>
        </w:tc>
        <w:tc>
          <w:tcPr>
            <w:tcW w:w="568" w:type="dxa"/>
            <w:tcBorders>
              <w:tl2br w:val="nil"/>
              <w:tr2bl w:val="nil"/>
            </w:tcBorders>
            <w:noWrap w:val="0"/>
            <w:vAlign w:val="center"/>
          </w:tcPr>
          <w:p w14:paraId="08916D2D">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78042B15">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6A3826A6">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1422C217">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BECFE7E">
            <w:pPr>
              <w:jc w:val="center"/>
              <w:rPr>
                <w:rFonts w:hint="default" w:ascii="Arial" w:hAnsi="Arial" w:eastAsia="宋体" w:cs="Arial"/>
                <w:sz w:val="21"/>
                <w:szCs w:val="21"/>
              </w:rPr>
            </w:pPr>
            <w:r>
              <w:rPr>
                <w:rFonts w:hint="default" w:ascii="Arial" w:hAnsi="Arial" w:eastAsia="宋体" w:cs="Arial"/>
                <w:sz w:val="21"/>
                <w:szCs w:val="21"/>
              </w:rPr>
              <w:t>30</w:t>
            </w:r>
          </w:p>
        </w:tc>
        <w:tc>
          <w:tcPr>
            <w:tcW w:w="848" w:type="dxa"/>
            <w:tcBorders>
              <w:tl2br w:val="nil"/>
              <w:tr2bl w:val="nil"/>
            </w:tcBorders>
            <w:noWrap w:val="0"/>
            <w:vAlign w:val="center"/>
          </w:tcPr>
          <w:p w14:paraId="1100D56A">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17A1C7A0">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14797FB3">
            <w:pPr>
              <w:jc w:val="center"/>
              <w:rPr>
                <w:rFonts w:hint="default" w:ascii="Arial" w:hAnsi="Arial" w:eastAsia="宋体" w:cs="Arial"/>
                <w:sz w:val="21"/>
                <w:szCs w:val="21"/>
              </w:rPr>
            </w:pPr>
            <w:r>
              <w:rPr>
                <w:rFonts w:hint="default" w:ascii="Arial" w:hAnsi="Arial" w:eastAsia="宋体" w:cs="Arial"/>
                <w:sz w:val="21"/>
                <w:szCs w:val="21"/>
              </w:rPr>
              <w:t>50</w:t>
            </w:r>
          </w:p>
        </w:tc>
      </w:tr>
      <w:tr w14:paraId="581913ED">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4E9F8E2B">
            <w:pPr>
              <w:jc w:val="center"/>
              <w:rPr>
                <w:rFonts w:hint="default" w:ascii="Arial" w:hAnsi="Arial" w:eastAsia="宋体" w:cs="Arial"/>
                <w:sz w:val="21"/>
                <w:szCs w:val="21"/>
              </w:rPr>
            </w:pPr>
            <w:r>
              <w:rPr>
                <w:rFonts w:hint="default" w:ascii="Arial" w:hAnsi="Arial" w:eastAsia="宋体" w:cs="Arial"/>
                <w:sz w:val="21"/>
                <w:szCs w:val="21"/>
              </w:rPr>
              <w:t>40</w:t>
            </w:r>
          </w:p>
        </w:tc>
        <w:tc>
          <w:tcPr>
            <w:tcW w:w="568" w:type="dxa"/>
            <w:tcBorders>
              <w:tl2br w:val="nil"/>
              <w:tr2bl w:val="nil"/>
            </w:tcBorders>
            <w:noWrap w:val="0"/>
            <w:vAlign w:val="center"/>
          </w:tcPr>
          <w:p w14:paraId="163D476D">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56185EEF">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386948B">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0CF0068">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4A930794">
            <w:pPr>
              <w:jc w:val="center"/>
              <w:rPr>
                <w:rFonts w:hint="default" w:ascii="Arial" w:hAnsi="Arial" w:eastAsia="宋体" w:cs="Arial"/>
                <w:sz w:val="21"/>
                <w:szCs w:val="21"/>
              </w:rPr>
            </w:pPr>
            <w:r>
              <w:rPr>
                <w:rFonts w:hint="default" w:ascii="Arial" w:hAnsi="Arial" w:eastAsia="宋体" w:cs="Arial"/>
                <w:sz w:val="21"/>
                <w:szCs w:val="21"/>
              </w:rPr>
              <w:t>30</w:t>
            </w:r>
          </w:p>
        </w:tc>
        <w:tc>
          <w:tcPr>
            <w:tcW w:w="848" w:type="dxa"/>
            <w:tcBorders>
              <w:tl2br w:val="nil"/>
              <w:tr2bl w:val="nil"/>
            </w:tcBorders>
            <w:noWrap w:val="0"/>
            <w:vAlign w:val="center"/>
          </w:tcPr>
          <w:p w14:paraId="12C1CE1A">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65983F52">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5A255820">
            <w:pPr>
              <w:jc w:val="center"/>
              <w:rPr>
                <w:rFonts w:hint="default" w:ascii="Arial" w:hAnsi="Arial" w:eastAsia="宋体" w:cs="Arial"/>
                <w:sz w:val="21"/>
                <w:szCs w:val="21"/>
              </w:rPr>
            </w:pPr>
            <w:r>
              <w:rPr>
                <w:rFonts w:hint="default" w:ascii="Arial" w:hAnsi="Arial" w:eastAsia="宋体" w:cs="Arial"/>
                <w:sz w:val="21"/>
                <w:szCs w:val="21"/>
              </w:rPr>
              <w:t>50</w:t>
            </w:r>
          </w:p>
        </w:tc>
      </w:tr>
      <w:tr w14:paraId="62183754">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76D26FC1">
            <w:pPr>
              <w:jc w:val="center"/>
              <w:rPr>
                <w:rFonts w:hint="default" w:ascii="Arial" w:hAnsi="Arial" w:eastAsia="宋体" w:cs="Arial"/>
                <w:sz w:val="21"/>
                <w:szCs w:val="21"/>
              </w:rPr>
            </w:pPr>
            <w:r>
              <w:rPr>
                <w:rFonts w:hint="default" w:ascii="Arial" w:hAnsi="Arial" w:eastAsia="宋体" w:cs="Arial"/>
                <w:sz w:val="21"/>
                <w:szCs w:val="21"/>
              </w:rPr>
              <w:t>50</w:t>
            </w:r>
          </w:p>
        </w:tc>
        <w:tc>
          <w:tcPr>
            <w:tcW w:w="568" w:type="dxa"/>
            <w:tcBorders>
              <w:tl2br w:val="nil"/>
              <w:tr2bl w:val="nil"/>
            </w:tcBorders>
            <w:noWrap w:val="0"/>
            <w:vAlign w:val="center"/>
          </w:tcPr>
          <w:p w14:paraId="016CFB53">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2DC50DE1">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1076820F">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55898A04">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3267457A">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26F323A4">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44DF99DC">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210A9D02">
            <w:pPr>
              <w:jc w:val="center"/>
              <w:rPr>
                <w:rFonts w:hint="default" w:ascii="Arial" w:hAnsi="Arial" w:eastAsia="宋体" w:cs="Arial"/>
                <w:sz w:val="21"/>
                <w:szCs w:val="21"/>
              </w:rPr>
            </w:pPr>
            <w:r>
              <w:rPr>
                <w:rFonts w:hint="default" w:ascii="Arial" w:hAnsi="Arial" w:eastAsia="宋体" w:cs="Arial"/>
                <w:sz w:val="21"/>
                <w:szCs w:val="21"/>
              </w:rPr>
              <w:t>50</w:t>
            </w:r>
          </w:p>
        </w:tc>
      </w:tr>
      <w:tr w14:paraId="604A285B">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65E0FE4">
            <w:pPr>
              <w:jc w:val="center"/>
              <w:rPr>
                <w:rFonts w:hint="default" w:ascii="Arial" w:hAnsi="Arial" w:eastAsia="宋体" w:cs="Arial"/>
                <w:sz w:val="21"/>
                <w:szCs w:val="21"/>
              </w:rPr>
            </w:pPr>
            <w:r>
              <w:rPr>
                <w:rFonts w:hint="default" w:ascii="Arial" w:hAnsi="Arial" w:eastAsia="宋体" w:cs="Arial"/>
                <w:sz w:val="21"/>
                <w:szCs w:val="21"/>
              </w:rPr>
              <w:t>65</w:t>
            </w:r>
          </w:p>
        </w:tc>
        <w:tc>
          <w:tcPr>
            <w:tcW w:w="568" w:type="dxa"/>
            <w:tcBorders>
              <w:tl2br w:val="nil"/>
              <w:tr2bl w:val="nil"/>
            </w:tcBorders>
            <w:noWrap w:val="0"/>
            <w:vAlign w:val="center"/>
          </w:tcPr>
          <w:p w14:paraId="059A6847">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0E7C8988">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1F7F01E8">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15518C4">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2F2EA65">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488CF9A1">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748B3AE0">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02F8B2D1">
            <w:pPr>
              <w:jc w:val="center"/>
              <w:rPr>
                <w:rFonts w:hint="default" w:ascii="Arial" w:hAnsi="Arial" w:eastAsia="宋体" w:cs="Arial"/>
                <w:sz w:val="21"/>
                <w:szCs w:val="21"/>
              </w:rPr>
            </w:pPr>
            <w:r>
              <w:rPr>
                <w:rFonts w:hint="default" w:ascii="Arial" w:hAnsi="Arial" w:eastAsia="宋体" w:cs="Arial"/>
                <w:sz w:val="21"/>
                <w:szCs w:val="21"/>
              </w:rPr>
              <w:t>60</w:t>
            </w:r>
          </w:p>
        </w:tc>
      </w:tr>
      <w:tr w14:paraId="3EC681FD">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797C1DB">
            <w:pPr>
              <w:jc w:val="center"/>
              <w:rPr>
                <w:rFonts w:hint="default" w:ascii="Arial" w:hAnsi="Arial" w:eastAsia="宋体" w:cs="Arial"/>
                <w:sz w:val="21"/>
                <w:szCs w:val="21"/>
              </w:rPr>
            </w:pPr>
            <w:r>
              <w:rPr>
                <w:rFonts w:hint="default" w:ascii="Arial" w:hAnsi="Arial" w:eastAsia="宋体" w:cs="Arial"/>
                <w:sz w:val="21"/>
                <w:szCs w:val="21"/>
              </w:rPr>
              <w:t>80</w:t>
            </w:r>
          </w:p>
        </w:tc>
        <w:tc>
          <w:tcPr>
            <w:tcW w:w="568" w:type="dxa"/>
            <w:tcBorders>
              <w:tl2br w:val="nil"/>
              <w:tr2bl w:val="nil"/>
            </w:tcBorders>
            <w:noWrap w:val="0"/>
            <w:vAlign w:val="center"/>
          </w:tcPr>
          <w:p w14:paraId="11E39DF6">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69F160E2">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BF15907">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013659A">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6842AA73">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481B2DDF">
            <w:pPr>
              <w:jc w:val="center"/>
              <w:rPr>
                <w:rFonts w:hint="default" w:ascii="Arial" w:hAnsi="Arial" w:eastAsia="宋体" w:cs="Arial"/>
                <w:sz w:val="21"/>
                <w:szCs w:val="21"/>
              </w:rPr>
            </w:pPr>
            <w:r>
              <w:rPr>
                <w:rFonts w:hint="default" w:ascii="Arial" w:hAnsi="Arial" w:eastAsia="宋体" w:cs="Arial"/>
                <w:sz w:val="21"/>
                <w:szCs w:val="21"/>
              </w:rPr>
              <w:t>40</w:t>
            </w:r>
          </w:p>
        </w:tc>
        <w:tc>
          <w:tcPr>
            <w:tcW w:w="955" w:type="dxa"/>
            <w:tcBorders>
              <w:tl2br w:val="nil"/>
              <w:tr2bl w:val="nil"/>
            </w:tcBorders>
            <w:noWrap w:val="0"/>
            <w:vAlign w:val="center"/>
          </w:tcPr>
          <w:p w14:paraId="6F73EC76">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6DDCB617">
            <w:pPr>
              <w:jc w:val="center"/>
              <w:rPr>
                <w:rFonts w:hint="default" w:ascii="Arial" w:hAnsi="Arial" w:eastAsia="宋体" w:cs="Arial"/>
                <w:sz w:val="21"/>
                <w:szCs w:val="21"/>
              </w:rPr>
            </w:pPr>
            <w:r>
              <w:rPr>
                <w:rFonts w:hint="default" w:ascii="Arial" w:hAnsi="Arial" w:eastAsia="宋体" w:cs="Arial"/>
                <w:sz w:val="21"/>
                <w:szCs w:val="21"/>
              </w:rPr>
              <w:t>60</w:t>
            </w:r>
          </w:p>
        </w:tc>
      </w:tr>
      <w:tr w14:paraId="35A7B9EE">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E9154D3">
            <w:pPr>
              <w:jc w:val="center"/>
              <w:rPr>
                <w:rFonts w:hint="default" w:ascii="Arial" w:hAnsi="Arial" w:eastAsia="宋体" w:cs="Arial"/>
                <w:sz w:val="21"/>
                <w:szCs w:val="21"/>
              </w:rPr>
            </w:pPr>
            <w:r>
              <w:rPr>
                <w:rFonts w:hint="default" w:ascii="Arial" w:hAnsi="Arial" w:eastAsia="宋体" w:cs="Arial"/>
                <w:sz w:val="21"/>
                <w:szCs w:val="21"/>
              </w:rPr>
              <w:t>100</w:t>
            </w:r>
          </w:p>
        </w:tc>
        <w:tc>
          <w:tcPr>
            <w:tcW w:w="568" w:type="dxa"/>
            <w:tcBorders>
              <w:tl2br w:val="nil"/>
              <w:tr2bl w:val="nil"/>
            </w:tcBorders>
            <w:noWrap w:val="0"/>
            <w:vAlign w:val="center"/>
          </w:tcPr>
          <w:p w14:paraId="53E99BC8">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F6431E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CC8E9F5">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2E547086">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61361F74">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448984E4">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24D73E9E">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4471B053">
            <w:pPr>
              <w:jc w:val="center"/>
              <w:rPr>
                <w:rFonts w:hint="default" w:ascii="Arial" w:hAnsi="Arial" w:eastAsia="宋体" w:cs="Arial"/>
                <w:sz w:val="21"/>
                <w:szCs w:val="21"/>
              </w:rPr>
            </w:pPr>
            <w:r>
              <w:rPr>
                <w:rFonts w:hint="default" w:ascii="Arial" w:hAnsi="Arial" w:eastAsia="宋体" w:cs="Arial"/>
                <w:sz w:val="21"/>
                <w:szCs w:val="21"/>
              </w:rPr>
              <w:t>60</w:t>
            </w:r>
          </w:p>
        </w:tc>
      </w:tr>
      <w:tr w14:paraId="60AAE95F">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344A6065">
            <w:pPr>
              <w:jc w:val="center"/>
              <w:rPr>
                <w:rFonts w:hint="default" w:ascii="Arial" w:hAnsi="Arial" w:eastAsia="宋体" w:cs="Arial"/>
                <w:sz w:val="21"/>
                <w:szCs w:val="21"/>
              </w:rPr>
            </w:pPr>
            <w:r>
              <w:rPr>
                <w:rFonts w:hint="default" w:ascii="Arial" w:hAnsi="Arial" w:eastAsia="宋体" w:cs="Arial"/>
                <w:sz w:val="21"/>
                <w:szCs w:val="21"/>
              </w:rPr>
              <w:t>150</w:t>
            </w:r>
          </w:p>
        </w:tc>
        <w:tc>
          <w:tcPr>
            <w:tcW w:w="568" w:type="dxa"/>
            <w:tcBorders>
              <w:tl2br w:val="nil"/>
              <w:tr2bl w:val="nil"/>
            </w:tcBorders>
            <w:noWrap w:val="0"/>
            <w:vAlign w:val="center"/>
          </w:tcPr>
          <w:p w14:paraId="0FA79424">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9A399C2">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1A3C559">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385AEE55">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9E1BFC2">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6A4E4E2B">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4F9680CF">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7AD37347">
            <w:pPr>
              <w:jc w:val="center"/>
              <w:rPr>
                <w:rFonts w:hint="default" w:ascii="Arial" w:hAnsi="Arial" w:eastAsia="宋体" w:cs="Arial"/>
                <w:sz w:val="21"/>
                <w:szCs w:val="21"/>
              </w:rPr>
            </w:pPr>
            <w:r>
              <w:rPr>
                <w:rFonts w:hint="default" w:ascii="Arial" w:hAnsi="Arial" w:eastAsia="宋体" w:cs="Arial"/>
                <w:sz w:val="21"/>
                <w:szCs w:val="21"/>
              </w:rPr>
              <w:t>60</w:t>
            </w:r>
          </w:p>
        </w:tc>
      </w:tr>
      <w:tr w14:paraId="56EEB718">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5AA09EE">
            <w:pPr>
              <w:jc w:val="center"/>
              <w:rPr>
                <w:rFonts w:hint="default" w:ascii="Arial" w:hAnsi="Arial" w:eastAsia="宋体" w:cs="Arial"/>
                <w:sz w:val="21"/>
                <w:szCs w:val="21"/>
              </w:rPr>
            </w:pPr>
            <w:r>
              <w:rPr>
                <w:rFonts w:hint="default" w:ascii="Arial" w:hAnsi="Arial" w:eastAsia="宋体" w:cs="Arial"/>
                <w:sz w:val="21"/>
                <w:szCs w:val="21"/>
              </w:rPr>
              <w:t>125</w:t>
            </w:r>
          </w:p>
        </w:tc>
        <w:tc>
          <w:tcPr>
            <w:tcW w:w="568" w:type="dxa"/>
            <w:tcBorders>
              <w:tl2br w:val="nil"/>
              <w:tr2bl w:val="nil"/>
            </w:tcBorders>
            <w:noWrap w:val="0"/>
            <w:vAlign w:val="center"/>
          </w:tcPr>
          <w:p w14:paraId="495679AC">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584711C5">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5063CBB">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35D1D792">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562EDC3C">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76B65E26">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21370216">
            <w:pPr>
              <w:jc w:val="center"/>
              <w:rPr>
                <w:rFonts w:hint="default" w:ascii="Arial" w:hAnsi="Arial" w:eastAsia="宋体" w:cs="Arial"/>
                <w:sz w:val="21"/>
                <w:szCs w:val="21"/>
              </w:rPr>
            </w:pPr>
            <w:r>
              <w:rPr>
                <w:rFonts w:hint="default" w:ascii="Arial" w:hAnsi="Arial" w:eastAsia="宋体" w:cs="Arial"/>
                <w:sz w:val="21"/>
                <w:szCs w:val="21"/>
              </w:rPr>
              <w:t>50</w:t>
            </w:r>
          </w:p>
        </w:tc>
        <w:tc>
          <w:tcPr>
            <w:tcW w:w="1091" w:type="dxa"/>
            <w:tcBorders>
              <w:tl2br w:val="nil"/>
              <w:tr2bl w:val="nil"/>
            </w:tcBorders>
            <w:noWrap w:val="0"/>
            <w:vAlign w:val="center"/>
          </w:tcPr>
          <w:p w14:paraId="09227CEF">
            <w:pPr>
              <w:jc w:val="center"/>
              <w:rPr>
                <w:rFonts w:hint="default" w:ascii="Arial" w:hAnsi="Arial" w:eastAsia="宋体" w:cs="Arial"/>
                <w:sz w:val="21"/>
                <w:szCs w:val="21"/>
              </w:rPr>
            </w:pPr>
            <w:r>
              <w:rPr>
                <w:rFonts w:hint="default" w:ascii="Arial" w:hAnsi="Arial" w:eastAsia="宋体" w:cs="Arial"/>
                <w:sz w:val="21"/>
                <w:szCs w:val="21"/>
              </w:rPr>
              <w:t>60</w:t>
            </w:r>
          </w:p>
        </w:tc>
      </w:tr>
      <w:tr w14:paraId="6B123D1C">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86ACF08">
            <w:pPr>
              <w:jc w:val="center"/>
              <w:rPr>
                <w:rFonts w:hint="default" w:ascii="Arial" w:hAnsi="Arial" w:eastAsia="宋体" w:cs="Arial"/>
                <w:sz w:val="21"/>
                <w:szCs w:val="21"/>
              </w:rPr>
            </w:pPr>
            <w:r>
              <w:rPr>
                <w:rFonts w:hint="default" w:ascii="Arial" w:hAnsi="Arial" w:eastAsia="宋体" w:cs="Arial"/>
                <w:sz w:val="21"/>
                <w:szCs w:val="21"/>
              </w:rPr>
              <w:t>200</w:t>
            </w:r>
          </w:p>
        </w:tc>
        <w:tc>
          <w:tcPr>
            <w:tcW w:w="568" w:type="dxa"/>
            <w:tcBorders>
              <w:tl2br w:val="nil"/>
              <w:tr2bl w:val="nil"/>
            </w:tcBorders>
            <w:noWrap w:val="0"/>
            <w:vAlign w:val="center"/>
          </w:tcPr>
          <w:p w14:paraId="7663E72B">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231B0022">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6F6A6C9">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3335A8A2">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115C4226">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6BED398C">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56EDB4FE">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43D23C1C">
            <w:pPr>
              <w:jc w:val="center"/>
              <w:rPr>
                <w:rFonts w:hint="default" w:ascii="Arial" w:hAnsi="Arial" w:eastAsia="宋体" w:cs="Arial"/>
                <w:sz w:val="21"/>
                <w:szCs w:val="21"/>
              </w:rPr>
            </w:pPr>
            <w:r>
              <w:rPr>
                <w:rFonts w:hint="default" w:ascii="Arial" w:hAnsi="Arial" w:eastAsia="宋体" w:cs="Arial"/>
                <w:sz w:val="21"/>
                <w:szCs w:val="21"/>
              </w:rPr>
              <w:t>60</w:t>
            </w:r>
          </w:p>
        </w:tc>
      </w:tr>
      <w:tr w14:paraId="244E8152">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43359789">
            <w:pPr>
              <w:jc w:val="center"/>
              <w:rPr>
                <w:rFonts w:hint="default" w:ascii="Arial" w:hAnsi="Arial" w:eastAsia="宋体" w:cs="Arial"/>
                <w:sz w:val="21"/>
                <w:szCs w:val="21"/>
              </w:rPr>
            </w:pPr>
            <w:r>
              <w:rPr>
                <w:rFonts w:hint="default" w:ascii="Arial" w:hAnsi="Arial" w:eastAsia="宋体" w:cs="Arial"/>
                <w:sz w:val="21"/>
                <w:szCs w:val="21"/>
              </w:rPr>
              <w:t>250</w:t>
            </w:r>
          </w:p>
        </w:tc>
        <w:tc>
          <w:tcPr>
            <w:tcW w:w="568" w:type="dxa"/>
            <w:tcBorders>
              <w:tl2br w:val="nil"/>
              <w:tr2bl w:val="nil"/>
            </w:tcBorders>
            <w:noWrap w:val="0"/>
            <w:vAlign w:val="center"/>
          </w:tcPr>
          <w:p w14:paraId="55BAC41B">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628B73C4">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4A88CAA1">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142D24ED">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C53DC5B">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5F3F4DA0">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15D7C6CF">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38EFF139">
            <w:pPr>
              <w:jc w:val="center"/>
              <w:rPr>
                <w:rFonts w:hint="default" w:ascii="Arial" w:hAnsi="Arial" w:eastAsia="宋体" w:cs="Arial"/>
                <w:sz w:val="21"/>
                <w:szCs w:val="21"/>
              </w:rPr>
            </w:pPr>
            <w:r>
              <w:rPr>
                <w:rFonts w:hint="default" w:ascii="Arial" w:hAnsi="Arial" w:eastAsia="宋体" w:cs="Arial"/>
                <w:sz w:val="21"/>
                <w:szCs w:val="21"/>
              </w:rPr>
              <w:t>70</w:t>
            </w:r>
          </w:p>
        </w:tc>
      </w:tr>
      <w:tr w14:paraId="5962B506">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072F0FB">
            <w:pPr>
              <w:jc w:val="center"/>
              <w:rPr>
                <w:rFonts w:hint="default" w:ascii="Arial" w:hAnsi="Arial" w:eastAsia="宋体" w:cs="Arial"/>
                <w:sz w:val="21"/>
                <w:szCs w:val="21"/>
              </w:rPr>
            </w:pPr>
            <w:r>
              <w:rPr>
                <w:rFonts w:hint="default" w:ascii="Arial" w:hAnsi="Arial" w:eastAsia="宋体" w:cs="Arial"/>
                <w:sz w:val="21"/>
                <w:szCs w:val="21"/>
              </w:rPr>
              <w:t>300</w:t>
            </w:r>
          </w:p>
        </w:tc>
        <w:tc>
          <w:tcPr>
            <w:tcW w:w="568" w:type="dxa"/>
            <w:tcBorders>
              <w:tl2br w:val="nil"/>
              <w:tr2bl w:val="nil"/>
            </w:tcBorders>
            <w:noWrap w:val="0"/>
            <w:vAlign w:val="center"/>
          </w:tcPr>
          <w:p w14:paraId="083AF965">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66FB05E">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44CCE489">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2A5DFFB0">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7035340A">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04D847B3">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4ADC2CED">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5727668A">
            <w:pPr>
              <w:jc w:val="center"/>
              <w:rPr>
                <w:rFonts w:hint="default" w:ascii="Arial" w:hAnsi="Arial" w:eastAsia="宋体" w:cs="Arial"/>
                <w:sz w:val="21"/>
                <w:szCs w:val="21"/>
              </w:rPr>
            </w:pPr>
            <w:r>
              <w:rPr>
                <w:rFonts w:hint="default" w:ascii="Arial" w:hAnsi="Arial" w:eastAsia="宋体" w:cs="Arial"/>
                <w:sz w:val="21"/>
                <w:szCs w:val="21"/>
              </w:rPr>
              <w:t>70</w:t>
            </w:r>
          </w:p>
        </w:tc>
      </w:tr>
      <w:tr w14:paraId="6756E1C1">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6C7302D1">
            <w:pPr>
              <w:jc w:val="center"/>
              <w:rPr>
                <w:rFonts w:hint="default" w:ascii="Arial" w:hAnsi="Arial" w:eastAsia="宋体" w:cs="Arial"/>
                <w:sz w:val="21"/>
                <w:szCs w:val="21"/>
              </w:rPr>
            </w:pPr>
            <w:r>
              <w:rPr>
                <w:rFonts w:hint="default" w:ascii="Arial" w:hAnsi="Arial" w:eastAsia="宋体" w:cs="Arial"/>
                <w:sz w:val="21"/>
                <w:szCs w:val="21"/>
              </w:rPr>
              <w:t>350</w:t>
            </w:r>
          </w:p>
        </w:tc>
        <w:tc>
          <w:tcPr>
            <w:tcW w:w="568" w:type="dxa"/>
            <w:tcBorders>
              <w:tl2br w:val="nil"/>
              <w:tr2bl w:val="nil"/>
            </w:tcBorders>
            <w:noWrap w:val="0"/>
            <w:vAlign w:val="center"/>
          </w:tcPr>
          <w:p w14:paraId="39055CD6">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3F1F25A8">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3D2E89D5">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1B277834">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0604279A">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45CC8932">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40297D9F">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22E6E8DF">
            <w:pPr>
              <w:jc w:val="center"/>
              <w:rPr>
                <w:rFonts w:hint="default" w:ascii="Arial" w:hAnsi="Arial" w:eastAsia="宋体" w:cs="Arial"/>
                <w:sz w:val="21"/>
                <w:szCs w:val="21"/>
              </w:rPr>
            </w:pPr>
            <w:r>
              <w:rPr>
                <w:rFonts w:hint="default" w:ascii="Arial" w:hAnsi="Arial" w:eastAsia="宋体" w:cs="Arial"/>
                <w:sz w:val="21"/>
                <w:szCs w:val="21"/>
              </w:rPr>
              <w:t>70</w:t>
            </w:r>
          </w:p>
        </w:tc>
      </w:tr>
      <w:tr w14:paraId="440E9AD6">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636A993">
            <w:pPr>
              <w:jc w:val="center"/>
              <w:rPr>
                <w:rFonts w:hint="default" w:ascii="Arial" w:hAnsi="Arial" w:eastAsia="宋体" w:cs="Arial"/>
                <w:sz w:val="21"/>
                <w:szCs w:val="21"/>
              </w:rPr>
            </w:pPr>
            <w:r>
              <w:rPr>
                <w:rFonts w:hint="default" w:ascii="Arial" w:hAnsi="Arial" w:eastAsia="宋体" w:cs="Arial"/>
                <w:sz w:val="21"/>
                <w:szCs w:val="21"/>
              </w:rPr>
              <w:t>400</w:t>
            </w:r>
          </w:p>
        </w:tc>
        <w:tc>
          <w:tcPr>
            <w:tcW w:w="568" w:type="dxa"/>
            <w:tcBorders>
              <w:tl2br w:val="nil"/>
              <w:tr2bl w:val="nil"/>
            </w:tcBorders>
            <w:noWrap w:val="0"/>
            <w:vAlign w:val="center"/>
          </w:tcPr>
          <w:p w14:paraId="253EBC37">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55FC570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6E5B164A">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44AD52FA">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3E0D7CE7">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0F721126">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4A7A23A0">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024207EF">
            <w:pPr>
              <w:jc w:val="center"/>
              <w:rPr>
                <w:rFonts w:hint="default" w:ascii="Arial" w:hAnsi="Arial" w:eastAsia="宋体" w:cs="Arial"/>
                <w:sz w:val="21"/>
                <w:szCs w:val="21"/>
              </w:rPr>
            </w:pPr>
            <w:r>
              <w:rPr>
                <w:rFonts w:hint="default" w:ascii="Arial" w:hAnsi="Arial" w:eastAsia="宋体" w:cs="Arial"/>
                <w:sz w:val="21"/>
                <w:szCs w:val="21"/>
              </w:rPr>
              <w:t>70</w:t>
            </w:r>
          </w:p>
        </w:tc>
      </w:tr>
      <w:tr w14:paraId="2C1D1EB4">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B4FD400">
            <w:pPr>
              <w:jc w:val="center"/>
              <w:rPr>
                <w:rFonts w:hint="default" w:ascii="Arial" w:hAnsi="Arial" w:eastAsia="宋体" w:cs="Arial"/>
                <w:sz w:val="21"/>
                <w:szCs w:val="21"/>
              </w:rPr>
            </w:pPr>
            <w:r>
              <w:rPr>
                <w:rFonts w:hint="default" w:ascii="Arial" w:hAnsi="Arial" w:eastAsia="宋体" w:cs="Arial"/>
                <w:sz w:val="21"/>
                <w:szCs w:val="21"/>
              </w:rPr>
              <w:t>450</w:t>
            </w:r>
          </w:p>
        </w:tc>
        <w:tc>
          <w:tcPr>
            <w:tcW w:w="568" w:type="dxa"/>
            <w:tcBorders>
              <w:tl2br w:val="nil"/>
              <w:tr2bl w:val="nil"/>
            </w:tcBorders>
            <w:noWrap w:val="0"/>
            <w:vAlign w:val="center"/>
          </w:tcPr>
          <w:p w14:paraId="5F1892C6">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1F8977E2">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F4C1F14">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68E63037">
            <w:pPr>
              <w:jc w:val="center"/>
              <w:rPr>
                <w:rFonts w:hint="default" w:ascii="Arial" w:hAnsi="Arial" w:eastAsia="宋体" w:cs="Arial"/>
                <w:sz w:val="21"/>
                <w:szCs w:val="21"/>
              </w:rPr>
            </w:pPr>
            <w:r>
              <w:rPr>
                <w:rFonts w:hint="default" w:ascii="Arial" w:hAnsi="Arial" w:eastAsia="宋体" w:cs="Arial"/>
                <w:sz w:val="21"/>
                <w:szCs w:val="21"/>
              </w:rPr>
              <w:t>30</w:t>
            </w:r>
          </w:p>
        </w:tc>
        <w:tc>
          <w:tcPr>
            <w:tcW w:w="1061" w:type="dxa"/>
            <w:tcBorders>
              <w:tl2br w:val="nil"/>
              <w:tr2bl w:val="nil"/>
            </w:tcBorders>
            <w:noWrap w:val="0"/>
            <w:vAlign w:val="center"/>
          </w:tcPr>
          <w:p w14:paraId="794C6088">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46CC5676">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244E5789">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191D9C76">
            <w:pPr>
              <w:jc w:val="center"/>
              <w:rPr>
                <w:rFonts w:hint="default" w:ascii="Arial" w:hAnsi="Arial" w:eastAsia="宋体" w:cs="Arial"/>
                <w:sz w:val="21"/>
                <w:szCs w:val="21"/>
              </w:rPr>
            </w:pPr>
            <w:r>
              <w:rPr>
                <w:rFonts w:hint="default" w:ascii="Arial" w:hAnsi="Arial" w:eastAsia="宋体" w:cs="Arial"/>
                <w:sz w:val="21"/>
                <w:szCs w:val="21"/>
              </w:rPr>
              <w:t>70</w:t>
            </w:r>
          </w:p>
        </w:tc>
      </w:tr>
      <w:tr w14:paraId="0DE17188">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71229CAD">
            <w:pPr>
              <w:jc w:val="center"/>
              <w:rPr>
                <w:rFonts w:hint="default" w:ascii="Arial" w:hAnsi="Arial" w:eastAsia="宋体" w:cs="Arial"/>
                <w:sz w:val="21"/>
                <w:szCs w:val="21"/>
              </w:rPr>
            </w:pPr>
            <w:r>
              <w:rPr>
                <w:rFonts w:hint="default" w:ascii="Arial" w:hAnsi="Arial" w:eastAsia="宋体" w:cs="Arial"/>
                <w:sz w:val="21"/>
                <w:szCs w:val="21"/>
              </w:rPr>
              <w:t>500</w:t>
            </w:r>
          </w:p>
        </w:tc>
        <w:tc>
          <w:tcPr>
            <w:tcW w:w="568" w:type="dxa"/>
            <w:tcBorders>
              <w:tl2br w:val="nil"/>
              <w:tr2bl w:val="nil"/>
            </w:tcBorders>
            <w:noWrap w:val="0"/>
            <w:vAlign w:val="center"/>
          </w:tcPr>
          <w:p w14:paraId="0526E15F">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31ECB696">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119E0AD3">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4CBABE1">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7110978E">
            <w:pPr>
              <w:jc w:val="center"/>
              <w:rPr>
                <w:rFonts w:hint="default" w:ascii="Arial" w:hAnsi="Arial" w:eastAsia="宋体" w:cs="Arial"/>
                <w:sz w:val="21"/>
                <w:szCs w:val="21"/>
              </w:rPr>
            </w:pPr>
            <w:r>
              <w:rPr>
                <w:rFonts w:hint="default" w:ascii="Arial" w:hAnsi="Arial" w:eastAsia="宋体" w:cs="Arial"/>
                <w:sz w:val="21"/>
                <w:szCs w:val="21"/>
              </w:rPr>
              <w:t>40</w:t>
            </w:r>
          </w:p>
        </w:tc>
        <w:tc>
          <w:tcPr>
            <w:tcW w:w="848" w:type="dxa"/>
            <w:tcBorders>
              <w:tl2br w:val="nil"/>
              <w:tr2bl w:val="nil"/>
            </w:tcBorders>
            <w:noWrap w:val="0"/>
            <w:vAlign w:val="center"/>
          </w:tcPr>
          <w:p w14:paraId="3EF4556D">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4150F053">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0287CA70">
            <w:pPr>
              <w:jc w:val="center"/>
              <w:rPr>
                <w:rFonts w:hint="default" w:ascii="Arial" w:hAnsi="Arial" w:eastAsia="宋体" w:cs="Arial"/>
                <w:sz w:val="21"/>
                <w:szCs w:val="21"/>
              </w:rPr>
            </w:pPr>
            <w:r>
              <w:rPr>
                <w:rFonts w:hint="default" w:ascii="Arial" w:hAnsi="Arial" w:eastAsia="宋体" w:cs="Arial"/>
                <w:sz w:val="21"/>
                <w:szCs w:val="21"/>
              </w:rPr>
              <w:t>70</w:t>
            </w:r>
          </w:p>
        </w:tc>
      </w:tr>
      <w:tr w14:paraId="3F69A4F7">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B72F37A">
            <w:pPr>
              <w:jc w:val="center"/>
              <w:rPr>
                <w:rFonts w:hint="default" w:ascii="Arial" w:hAnsi="Arial" w:eastAsia="宋体" w:cs="Arial"/>
                <w:sz w:val="21"/>
                <w:szCs w:val="21"/>
              </w:rPr>
            </w:pPr>
            <w:r>
              <w:rPr>
                <w:rFonts w:hint="default" w:ascii="Arial" w:hAnsi="Arial" w:eastAsia="宋体" w:cs="Arial"/>
                <w:sz w:val="21"/>
                <w:szCs w:val="21"/>
              </w:rPr>
              <w:t>600</w:t>
            </w:r>
          </w:p>
        </w:tc>
        <w:tc>
          <w:tcPr>
            <w:tcW w:w="568" w:type="dxa"/>
            <w:tcBorders>
              <w:tl2br w:val="nil"/>
              <w:tr2bl w:val="nil"/>
            </w:tcBorders>
            <w:noWrap w:val="0"/>
            <w:vAlign w:val="center"/>
          </w:tcPr>
          <w:p w14:paraId="71AF0C0D">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5BFE05F">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54D37F2B">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4626154">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524E271B">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763F3EEC">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33881A22">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0EBFDB88">
            <w:pPr>
              <w:jc w:val="center"/>
              <w:rPr>
                <w:rFonts w:hint="default" w:ascii="Arial" w:hAnsi="Arial" w:eastAsia="宋体" w:cs="Arial"/>
                <w:sz w:val="21"/>
                <w:szCs w:val="21"/>
              </w:rPr>
            </w:pPr>
            <w:r>
              <w:rPr>
                <w:rFonts w:hint="default" w:ascii="Arial" w:hAnsi="Arial" w:eastAsia="宋体" w:cs="Arial"/>
                <w:sz w:val="21"/>
                <w:szCs w:val="21"/>
              </w:rPr>
              <w:t>70</w:t>
            </w:r>
          </w:p>
        </w:tc>
      </w:tr>
      <w:tr w14:paraId="0678E4DC">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6D105ED9">
            <w:pPr>
              <w:jc w:val="center"/>
              <w:rPr>
                <w:rFonts w:hint="default" w:ascii="Arial" w:hAnsi="Arial" w:eastAsia="宋体" w:cs="Arial"/>
                <w:sz w:val="21"/>
                <w:szCs w:val="21"/>
              </w:rPr>
            </w:pPr>
            <w:r>
              <w:rPr>
                <w:rFonts w:hint="default" w:ascii="Arial" w:hAnsi="Arial" w:eastAsia="宋体" w:cs="Arial"/>
                <w:sz w:val="21"/>
                <w:szCs w:val="21"/>
              </w:rPr>
              <w:t>700</w:t>
            </w:r>
          </w:p>
        </w:tc>
        <w:tc>
          <w:tcPr>
            <w:tcW w:w="568" w:type="dxa"/>
            <w:tcBorders>
              <w:tl2br w:val="nil"/>
              <w:tr2bl w:val="nil"/>
            </w:tcBorders>
            <w:noWrap w:val="0"/>
            <w:vAlign w:val="center"/>
          </w:tcPr>
          <w:p w14:paraId="57322464">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5F1D84C3">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21C23E0">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77A31909">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107F4421">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6E4C0A4F">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76AF7250">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42332E3E">
            <w:pPr>
              <w:jc w:val="center"/>
              <w:rPr>
                <w:rFonts w:hint="default" w:ascii="Arial" w:hAnsi="Arial" w:eastAsia="宋体" w:cs="Arial"/>
                <w:sz w:val="21"/>
                <w:szCs w:val="21"/>
              </w:rPr>
            </w:pPr>
            <w:r>
              <w:rPr>
                <w:rFonts w:hint="default" w:ascii="Arial" w:hAnsi="Arial" w:eastAsia="宋体" w:cs="Arial"/>
                <w:sz w:val="21"/>
                <w:szCs w:val="21"/>
              </w:rPr>
              <w:t>70</w:t>
            </w:r>
          </w:p>
        </w:tc>
      </w:tr>
      <w:tr w14:paraId="0B26C816">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0907B0AD">
            <w:pPr>
              <w:jc w:val="center"/>
              <w:rPr>
                <w:rFonts w:hint="default" w:ascii="Arial" w:hAnsi="Arial" w:eastAsia="宋体" w:cs="Arial"/>
                <w:sz w:val="21"/>
                <w:szCs w:val="21"/>
              </w:rPr>
            </w:pPr>
            <w:r>
              <w:rPr>
                <w:rFonts w:hint="default" w:ascii="Arial" w:hAnsi="Arial" w:eastAsia="宋体" w:cs="Arial"/>
                <w:sz w:val="21"/>
                <w:szCs w:val="21"/>
              </w:rPr>
              <w:t>800</w:t>
            </w:r>
          </w:p>
        </w:tc>
        <w:tc>
          <w:tcPr>
            <w:tcW w:w="568" w:type="dxa"/>
            <w:tcBorders>
              <w:tl2br w:val="nil"/>
              <w:tr2bl w:val="nil"/>
            </w:tcBorders>
            <w:noWrap w:val="0"/>
            <w:vAlign w:val="center"/>
          </w:tcPr>
          <w:p w14:paraId="38861DB8">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71262C6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5C758369">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2047E12F">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03055E4C">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3404D70A">
            <w:pPr>
              <w:jc w:val="center"/>
              <w:rPr>
                <w:rFonts w:hint="default" w:ascii="Arial" w:hAnsi="Arial" w:eastAsia="宋体" w:cs="Arial"/>
                <w:sz w:val="21"/>
                <w:szCs w:val="21"/>
              </w:rPr>
            </w:pPr>
            <w:r>
              <w:rPr>
                <w:rFonts w:hint="default" w:ascii="Arial" w:hAnsi="Arial" w:eastAsia="宋体" w:cs="Arial"/>
                <w:sz w:val="21"/>
                <w:szCs w:val="21"/>
              </w:rPr>
              <w:t>50</w:t>
            </w:r>
          </w:p>
        </w:tc>
        <w:tc>
          <w:tcPr>
            <w:tcW w:w="955" w:type="dxa"/>
            <w:tcBorders>
              <w:tl2br w:val="nil"/>
              <w:tr2bl w:val="nil"/>
            </w:tcBorders>
            <w:noWrap w:val="0"/>
            <w:vAlign w:val="center"/>
          </w:tcPr>
          <w:p w14:paraId="57259985">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487F1604">
            <w:pPr>
              <w:jc w:val="center"/>
              <w:rPr>
                <w:rFonts w:hint="default" w:ascii="Arial" w:hAnsi="Arial" w:eastAsia="宋体" w:cs="Arial"/>
                <w:sz w:val="21"/>
                <w:szCs w:val="21"/>
              </w:rPr>
            </w:pPr>
            <w:r>
              <w:rPr>
                <w:rFonts w:hint="default" w:ascii="Arial" w:hAnsi="Arial" w:eastAsia="宋体" w:cs="Arial"/>
                <w:sz w:val="21"/>
                <w:szCs w:val="21"/>
              </w:rPr>
              <w:t>70</w:t>
            </w:r>
          </w:p>
        </w:tc>
      </w:tr>
      <w:tr w14:paraId="5CA97898">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9D0FA0D">
            <w:pPr>
              <w:jc w:val="center"/>
              <w:rPr>
                <w:rFonts w:hint="default" w:ascii="Arial" w:hAnsi="Arial" w:eastAsia="宋体" w:cs="Arial"/>
                <w:sz w:val="21"/>
                <w:szCs w:val="21"/>
              </w:rPr>
            </w:pPr>
            <w:r>
              <w:rPr>
                <w:rFonts w:hint="default" w:ascii="Arial" w:hAnsi="Arial" w:eastAsia="宋体" w:cs="Arial"/>
                <w:sz w:val="21"/>
                <w:szCs w:val="21"/>
              </w:rPr>
              <w:t>900</w:t>
            </w:r>
          </w:p>
        </w:tc>
        <w:tc>
          <w:tcPr>
            <w:tcW w:w="568" w:type="dxa"/>
            <w:tcBorders>
              <w:tl2br w:val="nil"/>
              <w:tr2bl w:val="nil"/>
            </w:tcBorders>
            <w:noWrap w:val="0"/>
            <w:vAlign w:val="center"/>
          </w:tcPr>
          <w:p w14:paraId="1936A76E">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4AB3A1C8">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01A9240A">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151A5B51">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18A29185">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3E6C6808">
            <w:pPr>
              <w:jc w:val="center"/>
              <w:rPr>
                <w:rFonts w:hint="default" w:ascii="Arial" w:hAnsi="Arial" w:eastAsia="宋体" w:cs="Arial"/>
                <w:sz w:val="21"/>
                <w:szCs w:val="21"/>
              </w:rPr>
            </w:pPr>
            <w:r>
              <w:rPr>
                <w:rFonts w:hint="default" w:ascii="Arial" w:hAnsi="Arial" w:eastAsia="宋体" w:cs="Arial"/>
                <w:sz w:val="21"/>
                <w:szCs w:val="21"/>
              </w:rPr>
              <w:t>60</w:t>
            </w:r>
          </w:p>
        </w:tc>
        <w:tc>
          <w:tcPr>
            <w:tcW w:w="955" w:type="dxa"/>
            <w:tcBorders>
              <w:tl2br w:val="nil"/>
              <w:tr2bl w:val="nil"/>
            </w:tcBorders>
            <w:noWrap w:val="0"/>
            <w:vAlign w:val="center"/>
          </w:tcPr>
          <w:p w14:paraId="158B86A9">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74F1D826">
            <w:pPr>
              <w:jc w:val="center"/>
              <w:rPr>
                <w:rFonts w:hint="default" w:ascii="Arial" w:hAnsi="Arial" w:eastAsia="宋体" w:cs="Arial"/>
                <w:sz w:val="21"/>
                <w:szCs w:val="21"/>
              </w:rPr>
            </w:pPr>
            <w:r>
              <w:rPr>
                <w:rFonts w:hint="default" w:ascii="Arial" w:hAnsi="Arial" w:eastAsia="宋体" w:cs="Arial"/>
                <w:sz w:val="21"/>
                <w:szCs w:val="21"/>
              </w:rPr>
              <w:t>70</w:t>
            </w:r>
          </w:p>
        </w:tc>
      </w:tr>
      <w:tr w14:paraId="03A22136">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5AD2C404">
            <w:pPr>
              <w:jc w:val="center"/>
              <w:rPr>
                <w:rFonts w:hint="default" w:ascii="Arial" w:hAnsi="Arial" w:eastAsia="宋体" w:cs="Arial"/>
                <w:sz w:val="21"/>
                <w:szCs w:val="21"/>
              </w:rPr>
            </w:pPr>
            <w:r>
              <w:rPr>
                <w:rFonts w:hint="default" w:ascii="Arial" w:hAnsi="Arial" w:eastAsia="宋体" w:cs="Arial"/>
                <w:sz w:val="21"/>
                <w:szCs w:val="21"/>
              </w:rPr>
              <w:t>1000</w:t>
            </w:r>
          </w:p>
        </w:tc>
        <w:tc>
          <w:tcPr>
            <w:tcW w:w="568" w:type="dxa"/>
            <w:tcBorders>
              <w:tl2br w:val="nil"/>
              <w:tr2bl w:val="nil"/>
            </w:tcBorders>
            <w:noWrap w:val="0"/>
            <w:vAlign w:val="center"/>
          </w:tcPr>
          <w:p w14:paraId="5288FCCF">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12C7F14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BC0158B">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7D128677">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71EB3A60">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494C36B6">
            <w:pPr>
              <w:jc w:val="center"/>
              <w:rPr>
                <w:rFonts w:hint="default" w:ascii="Arial" w:hAnsi="Arial" w:eastAsia="宋体" w:cs="Arial"/>
                <w:sz w:val="21"/>
                <w:szCs w:val="21"/>
              </w:rPr>
            </w:pPr>
            <w:r>
              <w:rPr>
                <w:rFonts w:hint="default" w:ascii="Arial" w:hAnsi="Arial" w:eastAsia="宋体" w:cs="Arial"/>
                <w:sz w:val="21"/>
                <w:szCs w:val="21"/>
              </w:rPr>
              <w:t>60</w:t>
            </w:r>
          </w:p>
        </w:tc>
        <w:tc>
          <w:tcPr>
            <w:tcW w:w="955" w:type="dxa"/>
            <w:tcBorders>
              <w:tl2br w:val="nil"/>
              <w:tr2bl w:val="nil"/>
            </w:tcBorders>
            <w:noWrap w:val="0"/>
            <w:vAlign w:val="center"/>
          </w:tcPr>
          <w:p w14:paraId="05A7C967">
            <w:pPr>
              <w:jc w:val="center"/>
              <w:rPr>
                <w:rFonts w:hint="default" w:ascii="Arial" w:hAnsi="Arial" w:eastAsia="宋体" w:cs="Arial"/>
                <w:sz w:val="21"/>
                <w:szCs w:val="21"/>
              </w:rPr>
            </w:pPr>
            <w:r>
              <w:rPr>
                <w:rFonts w:hint="default" w:ascii="Arial" w:hAnsi="Arial" w:eastAsia="宋体" w:cs="Arial"/>
                <w:sz w:val="21"/>
                <w:szCs w:val="21"/>
              </w:rPr>
              <w:t>60</w:t>
            </w:r>
          </w:p>
        </w:tc>
        <w:tc>
          <w:tcPr>
            <w:tcW w:w="1091" w:type="dxa"/>
            <w:tcBorders>
              <w:tl2br w:val="nil"/>
              <w:tr2bl w:val="nil"/>
            </w:tcBorders>
            <w:noWrap w:val="0"/>
            <w:vAlign w:val="center"/>
          </w:tcPr>
          <w:p w14:paraId="32906884">
            <w:pPr>
              <w:jc w:val="center"/>
              <w:rPr>
                <w:rFonts w:hint="default" w:ascii="Arial" w:hAnsi="Arial" w:eastAsia="宋体" w:cs="Arial"/>
                <w:sz w:val="21"/>
                <w:szCs w:val="21"/>
              </w:rPr>
            </w:pPr>
            <w:r>
              <w:rPr>
                <w:rFonts w:hint="default" w:ascii="Arial" w:hAnsi="Arial" w:eastAsia="宋体" w:cs="Arial"/>
                <w:sz w:val="21"/>
                <w:szCs w:val="21"/>
              </w:rPr>
              <w:t>70</w:t>
            </w:r>
          </w:p>
        </w:tc>
      </w:tr>
      <w:tr w14:paraId="556F76A6">
        <w:tblPrEx>
          <w:tblBorders>
            <w:top w:val="single" w:color="000000" w:sz="2" w:space="0"/>
            <w:left w:val="single" w:color="000000" w:sz="2" w:space="0"/>
            <w:bottom w:val="single" w:color="000000" w:sz="6"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1448" w:type="dxa"/>
            <w:tcBorders>
              <w:tl2br w:val="nil"/>
              <w:tr2bl w:val="nil"/>
            </w:tcBorders>
            <w:noWrap w:val="0"/>
            <w:vAlign w:val="center"/>
          </w:tcPr>
          <w:p w14:paraId="2AB9EDEE">
            <w:pPr>
              <w:jc w:val="center"/>
              <w:rPr>
                <w:rFonts w:hint="default" w:ascii="Arial" w:hAnsi="Arial" w:eastAsia="宋体" w:cs="Arial"/>
                <w:sz w:val="21"/>
                <w:szCs w:val="21"/>
              </w:rPr>
            </w:pPr>
            <w:r>
              <w:rPr>
                <w:rFonts w:hint="default" w:ascii="Arial" w:hAnsi="Arial" w:eastAsia="宋体" w:cs="Arial"/>
                <w:sz w:val="21"/>
                <w:szCs w:val="21"/>
              </w:rPr>
              <w:t>&gt;1000 &amp;设备</w:t>
            </w:r>
          </w:p>
        </w:tc>
        <w:tc>
          <w:tcPr>
            <w:tcW w:w="568" w:type="dxa"/>
            <w:tcBorders>
              <w:tl2br w:val="nil"/>
              <w:tr2bl w:val="nil"/>
            </w:tcBorders>
            <w:noWrap w:val="0"/>
            <w:vAlign w:val="center"/>
          </w:tcPr>
          <w:p w14:paraId="33C23AFB">
            <w:pPr>
              <w:jc w:val="center"/>
              <w:rPr>
                <w:rFonts w:hint="default" w:ascii="Arial" w:hAnsi="Arial" w:eastAsia="宋体" w:cs="Arial"/>
                <w:sz w:val="21"/>
                <w:szCs w:val="21"/>
              </w:rPr>
            </w:pPr>
            <w:r>
              <w:rPr>
                <w:rFonts w:hint="default" w:ascii="Arial" w:hAnsi="Arial" w:eastAsia="宋体" w:cs="Arial"/>
                <w:sz w:val="21"/>
                <w:szCs w:val="21"/>
              </w:rPr>
              <w:t>30</w:t>
            </w:r>
          </w:p>
        </w:tc>
        <w:tc>
          <w:tcPr>
            <w:tcW w:w="709" w:type="dxa"/>
            <w:tcBorders>
              <w:tl2br w:val="nil"/>
              <w:tr2bl w:val="nil"/>
            </w:tcBorders>
            <w:noWrap w:val="0"/>
            <w:vAlign w:val="center"/>
          </w:tcPr>
          <w:p w14:paraId="0E06459A">
            <w:pPr>
              <w:jc w:val="center"/>
              <w:rPr>
                <w:rFonts w:hint="default" w:ascii="Arial" w:hAnsi="Arial" w:eastAsia="宋体" w:cs="Arial"/>
                <w:sz w:val="21"/>
                <w:szCs w:val="21"/>
              </w:rPr>
            </w:pPr>
            <w:r>
              <w:rPr>
                <w:rFonts w:hint="default" w:ascii="Arial" w:hAnsi="Arial" w:eastAsia="宋体" w:cs="Arial"/>
                <w:sz w:val="21"/>
                <w:szCs w:val="21"/>
              </w:rPr>
              <w:t>30</w:t>
            </w:r>
          </w:p>
        </w:tc>
        <w:tc>
          <w:tcPr>
            <w:tcW w:w="798" w:type="dxa"/>
            <w:tcBorders>
              <w:tl2br w:val="nil"/>
              <w:tr2bl w:val="nil"/>
            </w:tcBorders>
            <w:noWrap w:val="0"/>
            <w:vAlign w:val="center"/>
          </w:tcPr>
          <w:p w14:paraId="2E0B9785">
            <w:pPr>
              <w:jc w:val="center"/>
              <w:rPr>
                <w:rFonts w:hint="default" w:ascii="Arial" w:hAnsi="Arial" w:eastAsia="宋体" w:cs="Arial"/>
                <w:sz w:val="21"/>
                <w:szCs w:val="21"/>
              </w:rPr>
            </w:pPr>
            <w:r>
              <w:rPr>
                <w:rFonts w:hint="default" w:ascii="Arial" w:hAnsi="Arial" w:eastAsia="宋体" w:cs="Arial"/>
                <w:sz w:val="21"/>
                <w:szCs w:val="21"/>
              </w:rPr>
              <w:t>30</w:t>
            </w:r>
          </w:p>
        </w:tc>
        <w:tc>
          <w:tcPr>
            <w:tcW w:w="888" w:type="dxa"/>
            <w:tcBorders>
              <w:tl2br w:val="nil"/>
              <w:tr2bl w:val="nil"/>
            </w:tcBorders>
            <w:noWrap w:val="0"/>
            <w:vAlign w:val="center"/>
          </w:tcPr>
          <w:p w14:paraId="0F6FF880">
            <w:pPr>
              <w:jc w:val="center"/>
              <w:rPr>
                <w:rFonts w:hint="default" w:ascii="Arial" w:hAnsi="Arial" w:eastAsia="宋体" w:cs="Arial"/>
                <w:sz w:val="21"/>
                <w:szCs w:val="21"/>
              </w:rPr>
            </w:pPr>
            <w:r>
              <w:rPr>
                <w:rFonts w:hint="default" w:ascii="Arial" w:hAnsi="Arial" w:eastAsia="宋体" w:cs="Arial"/>
                <w:sz w:val="21"/>
                <w:szCs w:val="21"/>
              </w:rPr>
              <w:t>40</w:t>
            </w:r>
          </w:p>
        </w:tc>
        <w:tc>
          <w:tcPr>
            <w:tcW w:w="1061" w:type="dxa"/>
            <w:tcBorders>
              <w:tl2br w:val="nil"/>
              <w:tr2bl w:val="nil"/>
            </w:tcBorders>
            <w:noWrap w:val="0"/>
            <w:vAlign w:val="center"/>
          </w:tcPr>
          <w:p w14:paraId="50C8E484">
            <w:pPr>
              <w:jc w:val="center"/>
              <w:rPr>
                <w:rFonts w:hint="default" w:ascii="Arial" w:hAnsi="Arial" w:eastAsia="宋体" w:cs="Arial"/>
                <w:sz w:val="21"/>
                <w:szCs w:val="21"/>
              </w:rPr>
            </w:pPr>
            <w:r>
              <w:rPr>
                <w:rFonts w:hint="default" w:ascii="Arial" w:hAnsi="Arial" w:eastAsia="宋体" w:cs="Arial"/>
                <w:sz w:val="21"/>
                <w:szCs w:val="21"/>
              </w:rPr>
              <w:t>50</w:t>
            </w:r>
          </w:p>
        </w:tc>
        <w:tc>
          <w:tcPr>
            <w:tcW w:w="848" w:type="dxa"/>
            <w:tcBorders>
              <w:tl2br w:val="nil"/>
              <w:tr2bl w:val="nil"/>
            </w:tcBorders>
            <w:noWrap w:val="0"/>
            <w:vAlign w:val="center"/>
          </w:tcPr>
          <w:p w14:paraId="6F156BDC">
            <w:pPr>
              <w:jc w:val="center"/>
              <w:rPr>
                <w:rFonts w:hint="default" w:ascii="Arial" w:hAnsi="Arial" w:eastAsia="宋体" w:cs="Arial"/>
                <w:sz w:val="21"/>
                <w:szCs w:val="21"/>
              </w:rPr>
            </w:pPr>
            <w:r>
              <w:rPr>
                <w:rFonts w:hint="default" w:ascii="Arial" w:hAnsi="Arial" w:eastAsia="宋体" w:cs="Arial"/>
                <w:sz w:val="21"/>
                <w:szCs w:val="21"/>
              </w:rPr>
              <w:t>60</w:t>
            </w:r>
          </w:p>
        </w:tc>
        <w:tc>
          <w:tcPr>
            <w:tcW w:w="955" w:type="dxa"/>
            <w:tcBorders>
              <w:tl2br w:val="nil"/>
              <w:tr2bl w:val="nil"/>
            </w:tcBorders>
            <w:noWrap w:val="0"/>
            <w:vAlign w:val="center"/>
          </w:tcPr>
          <w:p w14:paraId="417C3114">
            <w:pPr>
              <w:jc w:val="center"/>
              <w:rPr>
                <w:rFonts w:hint="default" w:ascii="Arial" w:hAnsi="Arial" w:eastAsia="宋体" w:cs="Arial"/>
                <w:sz w:val="21"/>
                <w:szCs w:val="21"/>
              </w:rPr>
            </w:pPr>
            <w:r>
              <w:rPr>
                <w:rFonts w:hint="default" w:ascii="Arial" w:hAnsi="Arial" w:eastAsia="宋体" w:cs="Arial"/>
                <w:sz w:val="21"/>
                <w:szCs w:val="21"/>
              </w:rPr>
              <w:t>70</w:t>
            </w:r>
          </w:p>
        </w:tc>
        <w:tc>
          <w:tcPr>
            <w:tcW w:w="1091" w:type="dxa"/>
            <w:tcBorders>
              <w:tl2br w:val="nil"/>
              <w:tr2bl w:val="nil"/>
            </w:tcBorders>
            <w:noWrap w:val="0"/>
            <w:vAlign w:val="center"/>
          </w:tcPr>
          <w:p w14:paraId="50FE4679">
            <w:pPr>
              <w:jc w:val="center"/>
              <w:rPr>
                <w:rFonts w:hint="default" w:ascii="Arial" w:hAnsi="Arial" w:eastAsia="宋体" w:cs="Arial"/>
                <w:sz w:val="21"/>
                <w:szCs w:val="21"/>
              </w:rPr>
            </w:pPr>
            <w:r>
              <w:rPr>
                <w:rFonts w:hint="default" w:ascii="Arial" w:hAnsi="Arial" w:eastAsia="宋体" w:cs="Arial"/>
                <w:sz w:val="21"/>
                <w:szCs w:val="21"/>
              </w:rPr>
              <w:t>70</w:t>
            </w:r>
          </w:p>
        </w:tc>
      </w:tr>
    </w:tbl>
    <w:p w14:paraId="221D2164">
      <w:pPr>
        <w:pStyle w:val="2"/>
        <w:keepNext w:val="0"/>
        <w:keepLines w:val="0"/>
        <w:pageBreakBefore w:val="0"/>
        <w:widowControl/>
        <w:numPr>
          <w:ilvl w:val="0"/>
          <w:numId w:val="0"/>
        </w:numPr>
        <w:kinsoku/>
        <w:wordWrap/>
        <w:overflowPunct/>
        <w:topLinePunct w:val="0"/>
        <w:autoSpaceDE/>
        <w:autoSpaceDN/>
        <w:bidi w:val="0"/>
        <w:adjustRightInd/>
        <w:snapToGrid/>
        <w:spacing w:before="156" w:beforeLines="50" w:after="156" w:afterLines="50"/>
        <w:ind w:left="578" w:hanging="578"/>
        <w:jc w:val="both"/>
        <w:textAlignment w:val="auto"/>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4设备和管道涂漆设计规定</w:t>
      </w:r>
    </w:p>
    <w:p w14:paraId="602CACF4">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4.1适用范围</w:t>
      </w:r>
    </w:p>
    <w:p w14:paraId="182F24EB">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本说明对塔、容器、换热器、加热炉、机械和包装机械、仪表、钢结构、管道等其他部件的表面处理和涂层保护系统提出了要求。</w:t>
      </w:r>
    </w:p>
    <w:p w14:paraId="52A379D0">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4.2标准、规范</w:t>
      </w:r>
    </w:p>
    <w:p w14:paraId="03360131">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设备和管道涂漆的设计、制造、试验和验收应按本说明所规定的标准和规范，执行本规定的任何承包商、分包商和供应商获悉所引用标准发生任何改变（包括修改单）时，需执行有关规定的最新有效版本。其最新版本适用于本规定。</w:t>
      </w:r>
    </w:p>
    <w:tbl>
      <w:tblPr>
        <w:tblStyle w:val="1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700"/>
        <w:gridCol w:w="5205"/>
      </w:tblGrid>
      <w:tr w14:paraId="6412A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3E5A93DC">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1720-1979</w:t>
            </w:r>
          </w:p>
        </w:tc>
        <w:tc>
          <w:tcPr>
            <w:tcW w:w="5205" w:type="dxa"/>
            <w:tcBorders>
              <w:top w:val="nil"/>
              <w:left w:val="nil"/>
              <w:bottom w:val="nil"/>
              <w:right w:val="nil"/>
            </w:tcBorders>
            <w:noWrap w:val="0"/>
            <w:tcMar>
              <w:top w:w="15" w:type="dxa"/>
              <w:left w:w="15" w:type="dxa"/>
              <w:right w:w="15" w:type="dxa"/>
            </w:tcMar>
            <w:vAlign w:val="center"/>
          </w:tcPr>
          <w:p w14:paraId="5A8C94E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《漆膜附着力测定方法》</w:t>
            </w:r>
          </w:p>
        </w:tc>
      </w:tr>
      <w:tr w14:paraId="0A1EF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133E802E">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SH/T 3022-2011</w:t>
            </w:r>
          </w:p>
        </w:tc>
        <w:tc>
          <w:tcPr>
            <w:tcW w:w="5205" w:type="dxa"/>
            <w:tcBorders>
              <w:top w:val="nil"/>
              <w:left w:val="nil"/>
              <w:bottom w:val="nil"/>
              <w:right w:val="nil"/>
            </w:tcBorders>
            <w:noWrap w:val="0"/>
            <w:tcMar>
              <w:top w:w="15" w:type="dxa"/>
              <w:left w:w="15" w:type="dxa"/>
              <w:right w:w="15" w:type="dxa"/>
            </w:tcMar>
            <w:vAlign w:val="center"/>
          </w:tcPr>
          <w:p w14:paraId="7EFBAA80">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《石油化工设备管道和管道涂料防腐蚀技术规范》</w:t>
            </w:r>
          </w:p>
        </w:tc>
      </w:tr>
      <w:tr w14:paraId="747ED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1FF7C7FF">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SH/T 3043-2014</w:t>
            </w:r>
          </w:p>
        </w:tc>
        <w:tc>
          <w:tcPr>
            <w:tcW w:w="5205" w:type="dxa"/>
            <w:tcBorders>
              <w:top w:val="nil"/>
              <w:left w:val="nil"/>
              <w:bottom w:val="nil"/>
              <w:right w:val="nil"/>
            </w:tcBorders>
            <w:noWrap w:val="0"/>
            <w:tcMar>
              <w:top w:w="15" w:type="dxa"/>
              <w:left w:w="15" w:type="dxa"/>
              <w:right w:w="15" w:type="dxa"/>
            </w:tcMar>
            <w:vAlign w:val="center"/>
          </w:tcPr>
          <w:p w14:paraId="01F8949B">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《石油化工设备管道钢结构表面色和标志规定》</w:t>
            </w:r>
          </w:p>
        </w:tc>
      </w:tr>
      <w:tr w14:paraId="5E95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6B9B423B">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2894-2008</w:t>
            </w:r>
          </w:p>
        </w:tc>
        <w:tc>
          <w:tcPr>
            <w:tcW w:w="5205" w:type="dxa"/>
            <w:tcBorders>
              <w:top w:val="nil"/>
              <w:left w:val="nil"/>
              <w:bottom w:val="nil"/>
              <w:right w:val="nil"/>
            </w:tcBorders>
            <w:noWrap w:val="0"/>
            <w:tcMar>
              <w:top w:w="15" w:type="dxa"/>
              <w:left w:w="15" w:type="dxa"/>
              <w:right w:w="15" w:type="dxa"/>
            </w:tcMar>
            <w:vAlign w:val="center"/>
          </w:tcPr>
          <w:p w14:paraId="319BE45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《安全标志及其使用导则》</w:t>
            </w:r>
          </w:p>
        </w:tc>
      </w:tr>
      <w:tr w14:paraId="6E4AD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2700" w:type="dxa"/>
            <w:tcBorders>
              <w:top w:val="nil"/>
              <w:left w:val="nil"/>
              <w:bottom w:val="nil"/>
              <w:right w:val="nil"/>
            </w:tcBorders>
            <w:noWrap w:val="0"/>
            <w:tcMar>
              <w:top w:w="15" w:type="dxa"/>
              <w:left w:w="15" w:type="dxa"/>
              <w:right w:w="15" w:type="dxa"/>
            </w:tcMar>
            <w:vAlign w:val="center"/>
          </w:tcPr>
          <w:p w14:paraId="5CE04B36">
            <w:pPr>
              <w:keepNext w:val="0"/>
              <w:keepLines w:val="0"/>
              <w:widowControl/>
              <w:suppressLineNumbers w:val="0"/>
              <w:jc w:val="both"/>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2893-2013</w:t>
            </w:r>
          </w:p>
        </w:tc>
        <w:tc>
          <w:tcPr>
            <w:tcW w:w="5205" w:type="dxa"/>
            <w:tcBorders>
              <w:top w:val="nil"/>
              <w:left w:val="nil"/>
              <w:bottom w:val="nil"/>
              <w:right w:val="nil"/>
            </w:tcBorders>
            <w:noWrap w:val="0"/>
            <w:tcMar>
              <w:top w:w="15" w:type="dxa"/>
              <w:left w:w="15" w:type="dxa"/>
              <w:right w:w="15" w:type="dxa"/>
            </w:tcMar>
            <w:vAlign w:val="center"/>
          </w:tcPr>
          <w:p w14:paraId="35D0F7AD">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《图形符号 安全色和安全标志》</w:t>
            </w:r>
          </w:p>
        </w:tc>
      </w:tr>
      <w:tr w14:paraId="1084D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265E0D0E">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 7231-2003</w:t>
            </w:r>
          </w:p>
        </w:tc>
        <w:tc>
          <w:tcPr>
            <w:tcW w:w="5205" w:type="dxa"/>
            <w:tcBorders>
              <w:top w:val="nil"/>
              <w:left w:val="nil"/>
              <w:bottom w:val="nil"/>
              <w:right w:val="nil"/>
            </w:tcBorders>
            <w:noWrap w:val="0"/>
            <w:tcMar>
              <w:top w:w="15" w:type="dxa"/>
              <w:left w:w="15" w:type="dxa"/>
              <w:right w:w="15" w:type="dxa"/>
            </w:tcMar>
            <w:vAlign w:val="center"/>
          </w:tcPr>
          <w:p w14:paraId="5862EC18">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《工业管道的基本识别色、识别符号和安全标识》</w:t>
            </w:r>
          </w:p>
        </w:tc>
      </w:tr>
      <w:tr w14:paraId="13642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700" w:type="dxa"/>
            <w:tcBorders>
              <w:top w:val="nil"/>
              <w:left w:val="nil"/>
              <w:bottom w:val="nil"/>
              <w:right w:val="nil"/>
            </w:tcBorders>
            <w:noWrap w:val="0"/>
            <w:tcMar>
              <w:top w:w="15" w:type="dxa"/>
              <w:left w:w="15" w:type="dxa"/>
              <w:right w:w="15" w:type="dxa"/>
            </w:tcMar>
            <w:vAlign w:val="center"/>
          </w:tcPr>
          <w:p w14:paraId="3E4849B3">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JB/T 4711-2003</w:t>
            </w:r>
          </w:p>
        </w:tc>
        <w:tc>
          <w:tcPr>
            <w:tcW w:w="5205" w:type="dxa"/>
            <w:tcBorders>
              <w:top w:val="nil"/>
              <w:left w:val="nil"/>
              <w:bottom w:val="nil"/>
              <w:right w:val="nil"/>
            </w:tcBorders>
            <w:noWrap w:val="0"/>
            <w:tcMar>
              <w:top w:w="15" w:type="dxa"/>
              <w:left w:w="15" w:type="dxa"/>
              <w:right w:w="15" w:type="dxa"/>
            </w:tcMar>
            <w:vAlign w:val="center"/>
          </w:tcPr>
          <w:p w14:paraId="3517F776">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《压力容器涂敷与运输包装》</w:t>
            </w:r>
          </w:p>
        </w:tc>
      </w:tr>
      <w:tr w14:paraId="59C3C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10" w:hRule="atLeast"/>
        </w:trPr>
        <w:tc>
          <w:tcPr>
            <w:tcW w:w="2700" w:type="dxa"/>
            <w:tcBorders>
              <w:top w:val="nil"/>
              <w:left w:val="nil"/>
              <w:bottom w:val="nil"/>
              <w:right w:val="nil"/>
            </w:tcBorders>
            <w:noWrap w:val="0"/>
            <w:tcMar>
              <w:top w:w="15" w:type="dxa"/>
              <w:left w:w="15" w:type="dxa"/>
              <w:right w:w="15" w:type="dxa"/>
            </w:tcMar>
            <w:vAlign w:val="center"/>
          </w:tcPr>
          <w:p w14:paraId="2783B2A2">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GB/T 8923-2011</w:t>
            </w:r>
          </w:p>
        </w:tc>
        <w:tc>
          <w:tcPr>
            <w:tcW w:w="5205" w:type="dxa"/>
            <w:tcBorders>
              <w:top w:val="nil"/>
              <w:left w:val="nil"/>
              <w:bottom w:val="nil"/>
              <w:right w:val="nil"/>
            </w:tcBorders>
            <w:noWrap w:val="0"/>
            <w:tcMar>
              <w:top w:w="15" w:type="dxa"/>
              <w:left w:w="15" w:type="dxa"/>
              <w:right w:w="15" w:type="dxa"/>
            </w:tcMar>
            <w:vAlign w:val="center"/>
          </w:tcPr>
          <w:p w14:paraId="0F31A6A2">
            <w:pPr>
              <w:keepNext w:val="0"/>
              <w:keepLines w:val="0"/>
              <w:widowControl/>
              <w:suppressLineNumbers w:val="0"/>
              <w:jc w:val="left"/>
              <w:textAlignment w:val="center"/>
              <w:rPr>
                <w:rFonts w:hint="default" w:ascii="Arial" w:hAnsi="Arial" w:eastAsia="宋体" w:cs="Arial"/>
                <w:i w:val="0"/>
                <w:color w:val="auto"/>
                <w:sz w:val="24"/>
                <w:szCs w:val="24"/>
                <w:highlight w:val="none"/>
                <w:u w:val="none"/>
                <w:shd w:val="clear" w:color="auto" w:fill="auto"/>
              </w:rPr>
            </w:pPr>
            <w:r>
              <w:rPr>
                <w:rFonts w:hint="default" w:ascii="Arial" w:hAnsi="Arial" w:eastAsia="宋体" w:cs="Arial"/>
                <w:i w:val="0"/>
                <w:color w:val="auto"/>
                <w:kern w:val="0"/>
                <w:sz w:val="24"/>
                <w:szCs w:val="24"/>
                <w:highlight w:val="none"/>
                <w:u w:val="none"/>
                <w:shd w:val="clear" w:color="auto" w:fill="auto"/>
                <w:lang w:val="en-US" w:eastAsia="zh-CN" w:bidi="ar"/>
              </w:rPr>
              <w:t>《涂覆涂料前钢材表面处理 表面清洁度的目视评定 第1部分：未涂覆过的钢材表面和全面清除原有涂层后的钢材表面的锈蚀等级和处理等级》</w:t>
            </w:r>
          </w:p>
        </w:tc>
      </w:tr>
    </w:tbl>
    <w:p w14:paraId="6F6D468B">
      <w:pPr>
        <w:pStyle w:val="3"/>
        <w:keepNext w:val="0"/>
        <w:keepLines w:val="0"/>
        <w:pageBreakBefore w:val="0"/>
        <w:numPr>
          <w:ilvl w:val="0"/>
          <w:numId w:val="0"/>
        </w:numPr>
        <w:kinsoku/>
        <w:wordWrap/>
        <w:overflowPunct/>
        <w:topLinePunct w:val="0"/>
        <w:autoSpaceDE/>
        <w:autoSpaceDN/>
        <w:bidi w:val="0"/>
        <w:adjustRightInd/>
        <w:snapToGrid/>
        <w:spacing w:before="0" w:beforeLines="0" w:after="0" w:afterLines="0" w:line="360" w:lineRule="auto"/>
        <w:ind w:left="0" w:right="0" w:firstLine="482" w:firstLineChars="200"/>
        <w:textAlignment w:val="auto"/>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4.3一般规定</w:t>
      </w:r>
    </w:p>
    <w:p w14:paraId="5D56B936">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碳素钢、低合金钢的设备、管道及其附属钢结构表面应涂漆。</w:t>
      </w:r>
    </w:p>
    <w:p w14:paraId="72988ECC">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当隔热材料氯离子浓度大于 25ppm、且无应力腐蚀抑制剂时，需隔热的不锈钢设备与管道。</w:t>
      </w:r>
    </w:p>
    <w:p w14:paraId="44A0ED49">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涂装在钢材表面上的底层涂料，宜选用 GB/T 1720－1979 中测定附着力为 1 级的底漆。</w:t>
      </w:r>
    </w:p>
    <w:p w14:paraId="5D043EB8">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本规定不包括要求已经有外涂层和保护层的地下管道。</w:t>
      </w:r>
    </w:p>
    <w:p w14:paraId="580ACEF3">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通常下列项目不用涂漆，除非在其它适用的采购文件中另有说明</w:t>
      </w:r>
      <w:r>
        <w:rPr>
          <w:rFonts w:hint="eastAsia" w:ascii="Arial" w:hAnsi="Arial" w:cs="Arial"/>
          <w:bCs/>
          <w:color w:val="auto"/>
          <w:spacing w:val="-2"/>
          <w:sz w:val="24"/>
          <w:szCs w:val="22"/>
          <w:highlight w:val="none"/>
          <w:shd w:val="clear" w:color="auto" w:fill="auto"/>
          <w:lang w:eastAsia="zh-CN"/>
        </w:rPr>
        <w:t>：</w:t>
      </w:r>
    </w:p>
    <w:p w14:paraId="092C3E2A">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a、低合金高强度钢；</w:t>
      </w:r>
    </w:p>
    <w:p w14:paraId="09930B48">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b、砌砖，瓷砖，混凝土；</w:t>
      </w:r>
    </w:p>
    <w:p w14:paraId="4D64C2F9">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c、石棉水泥，塑料，玻璃，橡胶，玛蹄脂；</w:t>
      </w:r>
    </w:p>
    <w:p w14:paraId="1F9CF53E">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d、不锈钢管道；</w:t>
      </w:r>
    </w:p>
    <w:p w14:paraId="418A6C39">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e、运转设备的机加工部分和垫片接触表面；</w:t>
      </w:r>
    </w:p>
    <w:p w14:paraId="64E1C9A4">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f、绝热外表面的金属保护层；</w:t>
      </w:r>
    </w:p>
    <w:p w14:paraId="031C9D08">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g、阀杆，马达轴和其它转动部件（联轴节除外） ；</w:t>
      </w:r>
    </w:p>
    <w:p w14:paraId="75FF4208">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h、涂有防锈剂的机加工表面；</w:t>
      </w:r>
    </w:p>
    <w:p w14:paraId="7ECB3DBA">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i、铭牌，仪表观察窗。</w:t>
      </w:r>
    </w:p>
    <w:p w14:paraId="6EB5E2F1">
      <w:pPr>
        <w:keepNext w:val="0"/>
        <w:keepLines w:val="0"/>
        <w:pageBreakBefore w:val="0"/>
        <w:widowControl/>
        <w:numPr>
          <w:ilvl w:val="0"/>
          <w:numId w:val="0"/>
        </w:numPr>
        <w:kinsoku/>
        <w:wordWrap/>
        <w:overflowPunct/>
        <w:topLinePunct w:val="0"/>
        <w:autoSpaceDE/>
        <w:autoSpaceDN/>
        <w:bidi w:val="0"/>
        <w:adjustRightInd/>
        <w:snapToGrid/>
        <w:spacing w:line="360" w:lineRule="auto"/>
        <w:ind w:leftChars="200" w:right="0" w:right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j、由制造厂提供已具有完整的和符合要求的底漆和面漆的仪表、仪表盘、电器及设备等。</w:t>
      </w:r>
    </w:p>
    <w:p w14:paraId="06EF0424">
      <w:pPr>
        <w:keepNext w:val="0"/>
        <w:keepLines w:val="0"/>
        <w:pageBreakBefore w:val="0"/>
        <w:widowControl/>
        <w:numPr>
          <w:ilvl w:val="0"/>
          <w:numId w:val="16"/>
        </w:numPr>
        <w:kinsoku/>
        <w:wordWrap/>
        <w:overflowPunct/>
        <w:topLinePunct w:val="0"/>
        <w:autoSpaceDE/>
        <w:autoSpaceDN/>
        <w:bidi w:val="0"/>
        <w:adjustRightInd/>
        <w:snapToGrid/>
        <w:spacing w:line="360" w:lineRule="auto"/>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含铅的涂漆和其他涂层材料不能使用</w:t>
      </w:r>
      <w:r>
        <w:rPr>
          <w:rFonts w:hint="eastAsia" w:ascii="Arial" w:hAnsi="Arial" w:cs="Arial"/>
          <w:bCs/>
          <w:color w:val="auto"/>
          <w:spacing w:val="-2"/>
          <w:sz w:val="24"/>
          <w:szCs w:val="22"/>
          <w:highlight w:val="none"/>
          <w:shd w:val="clear" w:color="auto" w:fill="auto"/>
          <w:lang w:eastAsia="zh-CN"/>
        </w:rPr>
        <w:t>。</w:t>
      </w:r>
    </w:p>
    <w:p w14:paraId="6C1968BE">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4.4涂漆原则</w:t>
      </w:r>
    </w:p>
    <w:p w14:paraId="560B1BD8">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对于经常有腐蚀性液体溢出且没有保护的金属表面，至少应刷一层底漆和一层防腐蚀面漆。</w:t>
      </w:r>
    </w:p>
    <w:p w14:paraId="25E6A871">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作为要求，在装配情况下，所有裸露表面包括应予保温而尚未保温的部件表面(如：管道，设备等)应按照最高操作温度选择涂漆方法完成涂漆。</w:t>
      </w:r>
    </w:p>
    <w:p w14:paraId="59EEB0CC">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管道和设备的局部保温或用于人员防烫保温的金属笼按照不保温部件选择涂漆，并且选择涂漆方法完成涂漆。</w:t>
      </w:r>
    </w:p>
    <w:p w14:paraId="7EC29263">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对于管道和设备，参照最高操作温度选择涂漆方法。对于换热器， 选择涂漆方法的温度参照进出口温度的高温点。对于有非金属内衬里管道和设备，按照设计金属壁温选择涂漆型号。</w:t>
      </w:r>
    </w:p>
    <w:p w14:paraId="356E4F58">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如果制造厂提交的涂漆方法满足温度要求，而且符合涂漆方法规定的两层油漆的最小干膜厚度，例如：泵，马达，压缩机，开关设备，阀门和管件可以采用制造厂的标准涂漆方法。在进行涂漆工作前，卖方应提交自己的涂漆程序给买方审查和批准。</w:t>
      </w:r>
    </w:p>
    <w:p w14:paraId="2B291294">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如果设备必须满足色标要求，或者机械设备处于腐蚀环境，或者需要修复损坏表面，应在现场对制造厂已涂刷底漆和面漆的设备再刷一遍面漆。</w:t>
      </w:r>
    </w:p>
    <w:p w14:paraId="5DCB1AB7">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机加工表面，如：螺纹，阀杆，垫片密封面等不应涂漆，用含防锈抑制剂的可溶性油漆进行保护。</w:t>
      </w:r>
    </w:p>
    <w:p w14:paraId="01D8900F">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采用海上运输和作为船运甲板货物的奥氏体材料，无论是否保温， 必须按照附录 B 进行车间涂漆。</w:t>
      </w:r>
    </w:p>
    <w:p w14:paraId="78333AB3">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用于奥氏体材料的油漆或色笔应是无铅，无硫和不含氯化物</w:t>
      </w:r>
    </w:p>
    <w:p w14:paraId="5BFA09F6">
      <w:pPr>
        <w:keepNext w:val="0"/>
        <w:keepLines w:val="0"/>
        <w:pageBreakBefore w:val="0"/>
        <w:widowControl/>
        <w:numPr>
          <w:ilvl w:val="0"/>
          <w:numId w:val="17"/>
        </w:numPr>
        <w:kinsoku/>
        <w:wordWrap/>
        <w:overflowPunct/>
        <w:topLinePunct w:val="0"/>
        <w:autoSpaceDE/>
        <w:autoSpaceDN/>
        <w:bidi w:val="0"/>
        <w:adjustRightInd/>
        <w:snapToGrid/>
        <w:ind w:left="0" w:leftChars="0" w:firstLine="425" w:firstLineChars="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埋地设备和管道应进行涂料防腐蚀。。</w:t>
      </w:r>
    </w:p>
    <w:p w14:paraId="29EF7450">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4.5表面色和标志色规定</w:t>
      </w:r>
    </w:p>
    <w:p w14:paraId="1B5B7818">
      <w:pPr>
        <w:keepNext w:val="0"/>
        <w:keepLines w:val="0"/>
        <w:pageBreakBefore w:val="0"/>
        <w:widowControl/>
        <w:numPr>
          <w:ilvl w:val="0"/>
          <w:numId w:val="18"/>
        </w:numPr>
        <w:kinsoku/>
        <w:wordWrap/>
        <w:overflowPunct/>
        <w:topLinePunct w:val="0"/>
        <w:autoSpaceDE/>
        <w:autoSpaceDN/>
        <w:bidi w:val="0"/>
        <w:adjustRightInd/>
        <w:snapToGrid/>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为了加强生产管理、方便操作及检修、促进安全生产和美化厂容， 设备、管道和钢结构的外表面都应涂刷表面色和标志。</w:t>
      </w:r>
    </w:p>
    <w:p w14:paraId="49390D9E">
      <w:pPr>
        <w:keepNext w:val="0"/>
        <w:keepLines w:val="0"/>
        <w:pageBreakBefore w:val="0"/>
        <w:widowControl/>
        <w:numPr>
          <w:ilvl w:val="0"/>
          <w:numId w:val="18"/>
        </w:numPr>
        <w:kinsoku/>
        <w:wordWrap/>
        <w:overflowPunct/>
        <w:topLinePunct w:val="0"/>
        <w:autoSpaceDE/>
        <w:autoSpaceDN/>
        <w:bidi w:val="0"/>
        <w:adjustRightInd/>
        <w:snapToGrid/>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表面系指不隔热设备和管道的外表面或隔热设备和管道的保护层外表面以及钢结构的表面。对于隔热材料外保护层不刷色，但应有标志；起重运输机械和机修、电修、仪修中的设备宜保持出厂色。</w:t>
      </w:r>
    </w:p>
    <w:p w14:paraId="2623C86A">
      <w:pPr>
        <w:keepNext w:val="0"/>
        <w:keepLines w:val="0"/>
        <w:pageBreakBefore w:val="0"/>
        <w:widowControl/>
        <w:numPr>
          <w:ilvl w:val="0"/>
          <w:numId w:val="18"/>
        </w:numPr>
        <w:kinsoku/>
        <w:wordWrap/>
        <w:overflowPunct/>
        <w:topLinePunct w:val="0"/>
        <w:autoSpaceDE/>
        <w:autoSpaceDN/>
        <w:bidi w:val="0"/>
        <w:adjustRightInd/>
        <w:snapToGrid/>
        <w:ind w:left="0" w:leftChars="0" w:right="0" w:firstLine="472" w:firstLineChars="200"/>
        <w:textAlignment w:val="auto"/>
        <w:outlineLvl w:val="9"/>
        <w:rPr>
          <w:rFonts w:hint="default" w:ascii="Arial" w:hAnsi="Arial" w:eastAsia="宋体" w:cs="Arial"/>
          <w:bCs/>
          <w:color w:val="auto"/>
          <w:spacing w:val="-2"/>
          <w:sz w:val="24"/>
          <w:szCs w:val="22"/>
          <w:highlight w:val="none"/>
          <w:shd w:val="clear" w:color="auto" w:fill="auto"/>
        </w:rPr>
      </w:pPr>
      <w:r>
        <w:rPr>
          <w:rFonts w:hint="default" w:ascii="Arial" w:hAnsi="Arial" w:eastAsia="宋体" w:cs="Arial"/>
          <w:bCs/>
          <w:color w:val="auto"/>
          <w:spacing w:val="-2"/>
          <w:sz w:val="24"/>
          <w:szCs w:val="22"/>
          <w:highlight w:val="none"/>
          <w:shd w:val="clear" w:color="auto" w:fill="auto"/>
        </w:rPr>
        <w:t>标志是指在外表面局部范围涂刷明显的标识符，包括字样、代号、位号、色环和箭头等。标志可在表面色的基础上再刷色，对于不保温的管道和设备，也可直接在本色或出厂色上涂刷；标志字体应为印刷体，尺寸适宜，排列规整。</w:t>
      </w:r>
    </w:p>
    <w:p w14:paraId="01FDC56A">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a、采用有色金属、不锈钢、陶瓷、塑料（含玻璃钢）等材料制成或表面已采用陶瓷、塑料、橡胶、搪瓷镀锌等处理的设备和管道宜保持材料本色， 不再刷表面色，但仍应刷标志。</w:t>
      </w:r>
    </w:p>
    <w:p w14:paraId="0AD08C9C">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b、刷变色漆的管道表面严禁再刷表面色，但可刷不妨碍变色漆功能的标志。</w:t>
      </w:r>
    </w:p>
    <w:p w14:paraId="40A95B2D">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c</w:t>
      </w:r>
      <w:r>
        <w:rPr>
          <w:rFonts w:hint="default" w:ascii="Arial" w:hAnsi="Arial" w:eastAsia="宋体" w:cs="Arial"/>
          <w:color w:val="auto"/>
          <w:spacing w:val="-8"/>
          <w:sz w:val="24"/>
          <w:szCs w:val="24"/>
          <w:highlight w:val="none"/>
          <w:shd w:val="clear" w:color="auto" w:fill="auto"/>
        </w:rPr>
        <w:t xml:space="preserve">、在外径或保护层外径小于或等于 </w:t>
      </w:r>
      <w:r>
        <w:rPr>
          <w:rFonts w:hint="default" w:ascii="Arial" w:hAnsi="Arial" w:eastAsia="宋体" w:cs="Arial"/>
          <w:color w:val="auto"/>
          <w:sz w:val="24"/>
          <w:szCs w:val="24"/>
          <w:highlight w:val="none"/>
          <w:shd w:val="clear" w:color="auto" w:fill="auto"/>
        </w:rPr>
        <w:t xml:space="preserve">50 mm </w:t>
      </w:r>
      <w:r>
        <w:rPr>
          <w:rFonts w:hint="default" w:ascii="Arial" w:hAnsi="Arial" w:eastAsia="宋体" w:cs="Arial"/>
          <w:color w:val="auto"/>
          <w:spacing w:val="-6"/>
          <w:sz w:val="24"/>
          <w:szCs w:val="24"/>
          <w:highlight w:val="none"/>
          <w:shd w:val="clear" w:color="auto" w:fill="auto"/>
        </w:rPr>
        <w:t>的管道上刷标志有困难时，可</w:t>
      </w:r>
      <w:r>
        <w:rPr>
          <w:rFonts w:hint="default" w:ascii="Arial" w:hAnsi="Arial" w:eastAsia="宋体" w:cs="Arial"/>
          <w:color w:val="auto"/>
          <w:spacing w:val="-3"/>
          <w:sz w:val="24"/>
          <w:szCs w:val="24"/>
          <w:highlight w:val="none"/>
          <w:shd w:val="clear" w:color="auto" w:fill="auto"/>
        </w:rPr>
        <w:t>采用标志牌。</w:t>
      </w:r>
    </w:p>
    <w:p w14:paraId="5CC413E2">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d、塔、烟囱、火炬等高耸设备及钢结构，必须根据当地航空管理部门的要求，设置飞行障碍警示标志。</w:t>
      </w:r>
    </w:p>
    <w:p w14:paraId="47D51C1C">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jc w:val="both"/>
        <w:textAlignment w:val="auto"/>
        <w:outlineLvl w:val="9"/>
        <w:rPr>
          <w:rFonts w:hint="default" w:ascii="Arial" w:hAnsi="Arial" w:eastAsia="宋体" w:cs="Arial"/>
          <w:b/>
          <w:bCs/>
          <w:color w:val="auto"/>
          <w:kern w:val="0"/>
          <w:sz w:val="24"/>
          <w:szCs w:val="24"/>
          <w:highlight w:val="none"/>
          <w:shd w:val="clear" w:color="auto" w:fill="auto"/>
          <w:lang w:val="en-US" w:eastAsia="zh-CN" w:bidi="ar-SA"/>
        </w:rPr>
      </w:pPr>
      <w:r>
        <w:rPr>
          <w:rFonts w:hint="default" w:ascii="Arial" w:hAnsi="Arial" w:eastAsia="宋体" w:cs="Arial"/>
          <w:color w:val="auto"/>
          <w:sz w:val="24"/>
          <w:szCs w:val="24"/>
          <w:highlight w:val="none"/>
          <w:shd w:val="clear" w:color="auto" w:fill="auto"/>
        </w:rPr>
        <w:t>e、由供应商提交的设备，如泵、电机、压缩机、开关设置、阀和配件等表面色应符合本说明要求。</w:t>
      </w:r>
    </w:p>
    <w:p w14:paraId="5C9F35EE">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4.6涂漆标志要求</w:t>
      </w:r>
    </w:p>
    <w:p w14:paraId="225939F5">
      <w:pPr>
        <w:pStyle w:val="6"/>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default" w:ascii="Arial" w:hAnsi="Arial" w:eastAsia="宋体" w:cs="Arial"/>
          <w:color w:val="auto"/>
          <w:sz w:val="24"/>
          <w:szCs w:val="24"/>
          <w:highlight w:val="none"/>
          <w:shd w:val="clear" w:color="auto" w:fill="auto"/>
        </w:rPr>
      </w:pPr>
      <w:r>
        <w:rPr>
          <w:rFonts w:hint="default" w:ascii="Arial" w:hAnsi="Arial" w:eastAsia="宋体" w:cs="Arial"/>
          <w:color w:val="auto"/>
          <w:sz w:val="24"/>
          <w:szCs w:val="24"/>
          <w:highlight w:val="none"/>
          <w:shd w:val="clear" w:color="auto" w:fill="auto"/>
        </w:rPr>
        <w:t>本项目涂漆及标志要求按照 SH/T 3043-2014 《石油化工设备管道钢结构表面色和标志规定》执行。</w:t>
      </w:r>
    </w:p>
    <w:p w14:paraId="710EEABF">
      <w:pPr>
        <w:pStyle w:val="3"/>
        <w:numPr>
          <w:ilvl w:val="0"/>
          <w:numId w:val="0"/>
        </w:numPr>
        <w:spacing w:before="0" w:beforeLines="0" w:after="0" w:afterLines="0"/>
        <w:rPr>
          <w:rFonts w:hint="default" w:ascii="Arial" w:hAnsi="Arial" w:eastAsia="宋体" w:cs="Arial"/>
          <w:b/>
          <w:bCs/>
          <w:color w:val="auto"/>
          <w:sz w:val="24"/>
          <w:szCs w:val="24"/>
          <w:highlight w:val="none"/>
          <w:shd w:val="clear" w:color="auto" w:fill="auto"/>
          <w:lang w:val="en-US" w:eastAsia="zh-CN"/>
        </w:rPr>
      </w:pPr>
      <w:r>
        <w:rPr>
          <w:rFonts w:hint="default" w:ascii="Arial" w:hAnsi="Arial" w:eastAsia="宋体" w:cs="Arial"/>
          <w:b/>
          <w:bCs/>
          <w:color w:val="auto"/>
          <w:sz w:val="24"/>
          <w:szCs w:val="24"/>
          <w:highlight w:val="none"/>
          <w:shd w:val="clear" w:color="auto" w:fill="auto"/>
          <w:lang w:val="en-US" w:eastAsia="zh-CN"/>
        </w:rPr>
        <w:t>4.7涂漆品种选用表</w:t>
      </w:r>
    </w:p>
    <w:p w14:paraId="404B636E">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default" w:ascii="Arial" w:hAnsi="Arial" w:eastAsia="宋体" w:cs="Arial"/>
          <w:color w:val="auto"/>
          <w:kern w:val="0"/>
          <w:sz w:val="24"/>
          <w:szCs w:val="24"/>
          <w:highlight w:val="none"/>
          <w:shd w:val="clear" w:color="auto" w:fill="auto"/>
        </w:rPr>
      </w:pPr>
      <w:r>
        <w:rPr>
          <w:rFonts w:hint="default" w:ascii="Arial" w:hAnsi="Arial" w:eastAsia="宋体" w:cs="Arial"/>
          <w:color w:val="auto"/>
          <w:sz w:val="24"/>
          <w:szCs w:val="24"/>
          <w:highlight w:val="none"/>
          <w:shd w:val="clear" w:color="auto" w:fill="auto"/>
        </w:rPr>
        <w:t>设备、管道及附属钢结构的涂漆品种选用见表 4.7-1。表</w:t>
      </w:r>
      <w:r>
        <w:rPr>
          <w:rFonts w:hint="default" w:ascii="Arial" w:hAnsi="Arial" w:eastAsia="宋体" w:cs="Arial"/>
          <w:color w:val="auto"/>
          <w:sz w:val="24"/>
          <w:szCs w:val="24"/>
          <w:highlight w:val="none"/>
          <w:shd w:val="clear" w:color="auto" w:fill="auto"/>
          <w:lang w:val="en-US" w:eastAsia="zh-CN"/>
        </w:rPr>
        <w:t>4.7-1</w:t>
      </w:r>
      <w:r>
        <w:rPr>
          <w:rFonts w:hint="default" w:ascii="Arial" w:hAnsi="Arial" w:eastAsia="宋体" w:cs="Arial"/>
          <w:color w:val="auto"/>
          <w:kern w:val="0"/>
          <w:sz w:val="24"/>
          <w:szCs w:val="24"/>
          <w:highlight w:val="none"/>
          <w:shd w:val="clear" w:color="auto" w:fill="auto"/>
        </w:rPr>
        <w:t>设备、管道及附属钢结构的涂漆系统</w:t>
      </w:r>
    </w:p>
    <w:tbl>
      <w:tblPr>
        <w:tblStyle w:val="11"/>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1177"/>
        <w:gridCol w:w="1650"/>
        <w:gridCol w:w="927"/>
        <w:gridCol w:w="610"/>
        <w:gridCol w:w="811"/>
        <w:gridCol w:w="3917"/>
      </w:tblGrid>
      <w:tr w14:paraId="3372779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blHeader/>
        </w:trPr>
        <w:tc>
          <w:tcPr>
            <w:tcW w:w="0" w:type="auto"/>
            <w:tcBorders>
              <w:top w:val="single" w:color="auto" w:sz="12" w:space="0"/>
              <w:left w:val="single" w:color="auto" w:sz="12" w:space="0"/>
              <w:bottom w:val="single" w:color="auto" w:sz="4" w:space="0"/>
              <w:right w:val="single" w:color="auto" w:sz="4" w:space="0"/>
            </w:tcBorders>
            <w:noWrap w:val="0"/>
            <w:vAlign w:val="center"/>
          </w:tcPr>
          <w:p w14:paraId="6B26C23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涂漆</w:t>
            </w:r>
          </w:p>
          <w:p w14:paraId="171A9A7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代码</w:t>
            </w:r>
          </w:p>
        </w:tc>
        <w:tc>
          <w:tcPr>
            <w:tcW w:w="0" w:type="auto"/>
            <w:tcBorders>
              <w:top w:val="single" w:color="auto" w:sz="12" w:space="0"/>
              <w:left w:val="single" w:color="auto" w:sz="4" w:space="0"/>
              <w:bottom w:val="single" w:color="auto" w:sz="4" w:space="0"/>
              <w:right w:val="single" w:color="auto" w:sz="4" w:space="0"/>
            </w:tcBorders>
            <w:noWrap w:val="0"/>
            <w:vAlign w:val="center"/>
          </w:tcPr>
          <w:p w14:paraId="1751365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最高操</w:t>
            </w:r>
          </w:p>
          <w:p w14:paraId="4F15428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作温度</w:t>
            </w:r>
          </w:p>
        </w:tc>
        <w:tc>
          <w:tcPr>
            <w:tcW w:w="0" w:type="auto"/>
            <w:tcBorders>
              <w:top w:val="single" w:color="auto" w:sz="12" w:space="0"/>
              <w:left w:val="single" w:color="auto" w:sz="4" w:space="0"/>
              <w:bottom w:val="single" w:color="auto" w:sz="4" w:space="0"/>
              <w:right w:val="single" w:color="auto" w:sz="4" w:space="0"/>
            </w:tcBorders>
            <w:noWrap w:val="0"/>
            <w:vAlign w:val="center"/>
          </w:tcPr>
          <w:p w14:paraId="296AD42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涂料类型及型号</w:t>
            </w:r>
          </w:p>
        </w:tc>
        <w:tc>
          <w:tcPr>
            <w:tcW w:w="0" w:type="auto"/>
            <w:tcBorders>
              <w:top w:val="single" w:color="auto" w:sz="12" w:space="0"/>
              <w:left w:val="single" w:color="auto" w:sz="4" w:space="0"/>
              <w:bottom w:val="single" w:color="auto" w:sz="4" w:space="0"/>
              <w:right w:val="single" w:color="auto" w:sz="4" w:space="0"/>
            </w:tcBorders>
            <w:noWrap w:val="0"/>
            <w:vAlign w:val="center"/>
          </w:tcPr>
          <w:p w14:paraId="289692E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最小</w:t>
            </w:r>
          </w:p>
          <w:p w14:paraId="4ED84E4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干膜厚度</w:t>
            </w:r>
          </w:p>
          <w:p w14:paraId="711B3C4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μm/层</w:t>
            </w:r>
          </w:p>
        </w:tc>
        <w:tc>
          <w:tcPr>
            <w:tcW w:w="0" w:type="auto"/>
            <w:tcBorders>
              <w:top w:val="single" w:color="auto" w:sz="12" w:space="0"/>
              <w:left w:val="single" w:color="auto" w:sz="4" w:space="0"/>
              <w:bottom w:val="single" w:color="auto" w:sz="4" w:space="0"/>
              <w:right w:val="single" w:color="auto" w:sz="4" w:space="0"/>
            </w:tcBorders>
            <w:noWrap w:val="0"/>
            <w:vAlign w:val="center"/>
          </w:tcPr>
          <w:p w14:paraId="1819E84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涂漆</w:t>
            </w:r>
          </w:p>
          <w:p w14:paraId="2051E66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层数</w:t>
            </w:r>
          </w:p>
        </w:tc>
        <w:tc>
          <w:tcPr>
            <w:tcW w:w="0" w:type="auto"/>
            <w:tcBorders>
              <w:top w:val="single" w:color="auto" w:sz="12" w:space="0"/>
              <w:left w:val="single" w:color="auto" w:sz="4" w:space="0"/>
              <w:bottom w:val="single" w:color="auto" w:sz="4" w:space="0"/>
              <w:right w:val="single" w:color="auto" w:sz="4" w:space="0"/>
            </w:tcBorders>
            <w:noWrap w:val="0"/>
            <w:vAlign w:val="center"/>
          </w:tcPr>
          <w:p w14:paraId="13DEF20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漆膜</w:t>
            </w:r>
          </w:p>
          <w:p w14:paraId="1F5BB9A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总厚度</w:t>
            </w:r>
          </w:p>
          <w:p w14:paraId="164D34D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μm</w:t>
            </w:r>
          </w:p>
        </w:tc>
        <w:tc>
          <w:tcPr>
            <w:tcW w:w="0" w:type="auto"/>
            <w:tcBorders>
              <w:top w:val="single" w:color="auto" w:sz="12" w:space="0"/>
              <w:left w:val="single" w:color="auto" w:sz="4" w:space="0"/>
              <w:bottom w:val="single" w:color="auto" w:sz="4" w:space="0"/>
              <w:right w:val="single" w:color="auto" w:sz="12" w:space="0"/>
            </w:tcBorders>
            <w:noWrap w:val="0"/>
            <w:vAlign w:val="center"/>
          </w:tcPr>
          <w:p w14:paraId="1F4AFE1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表面处</w:t>
            </w:r>
          </w:p>
          <w:p w14:paraId="67B030E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理等级</w:t>
            </w:r>
          </w:p>
        </w:tc>
      </w:tr>
      <w:tr w14:paraId="581B15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0" w:type="auto"/>
            <w:vMerge w:val="restart"/>
            <w:tcBorders>
              <w:top w:val="single" w:color="auto" w:sz="4" w:space="0"/>
              <w:left w:val="single" w:color="auto" w:sz="12" w:space="0"/>
              <w:bottom w:val="single" w:color="auto" w:sz="4" w:space="0"/>
              <w:right w:val="single" w:color="auto" w:sz="4" w:space="0"/>
            </w:tcBorders>
            <w:noWrap w:val="0"/>
            <w:vAlign w:val="center"/>
          </w:tcPr>
          <w:p w14:paraId="28327C4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P1</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265EA04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T＜120℃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285D525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环氧富锌底漆</w:t>
            </w:r>
          </w:p>
          <w:p w14:paraId="580621C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环氧云铁中间漆</w:t>
            </w:r>
          </w:p>
          <w:p w14:paraId="51EE3EA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脂肪族聚氨酯面漆</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3508D75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50</w:t>
            </w:r>
          </w:p>
          <w:p w14:paraId="3C17173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150</w:t>
            </w:r>
          </w:p>
          <w:p w14:paraId="71004AA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50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5DF583C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w:t>
            </w:r>
          </w:p>
          <w:p w14:paraId="5D2B41B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w:t>
            </w:r>
          </w:p>
          <w:p w14:paraId="5EE9025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587AF0E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250</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7603011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Sa 2.5</w:t>
            </w:r>
          </w:p>
        </w:tc>
      </w:tr>
      <w:tr w14:paraId="23A6176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14:paraId="1E98DF8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51575F8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4FB46FB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非绝热碳钢、低合金钢设备和管道及建筑钢结构、设备附属钢结构（包括扶梯、扶手、外壳等）、管架</w:t>
            </w:r>
          </w:p>
          <w:p w14:paraId="4779EFC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修补方案相同</w:t>
            </w:r>
          </w:p>
        </w:tc>
      </w:tr>
      <w:tr w14:paraId="0AE2DD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75" w:hRule="exact"/>
        </w:trPr>
        <w:tc>
          <w:tcPr>
            <w:tcW w:w="0" w:type="auto"/>
            <w:vMerge w:val="restart"/>
            <w:tcBorders>
              <w:top w:val="single" w:color="auto" w:sz="4" w:space="0"/>
              <w:left w:val="single" w:color="auto" w:sz="12" w:space="0"/>
              <w:right w:val="single" w:color="auto" w:sz="4" w:space="0"/>
            </w:tcBorders>
            <w:noWrap w:val="0"/>
            <w:vAlign w:val="center"/>
          </w:tcPr>
          <w:p w14:paraId="131E781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eastAsia="宋体" w:cs="Arial"/>
                <w:sz w:val="21"/>
                <w:szCs w:val="21"/>
                <w:highlight w:val="none"/>
                <w:lang w:eastAsia="zh-CN"/>
              </w:rPr>
            </w:pPr>
            <w:r>
              <w:rPr>
                <w:rFonts w:hint="default" w:ascii="Arial" w:hAnsi="Arial" w:eastAsia="宋体" w:cs="Arial"/>
                <w:sz w:val="21"/>
                <w:szCs w:val="21"/>
                <w:highlight w:val="none"/>
              </w:rPr>
              <w:t>P</w:t>
            </w:r>
            <w:r>
              <w:rPr>
                <w:rFonts w:hint="eastAsia" w:ascii="Arial" w:hAnsi="Arial" w:cs="Arial"/>
                <w:sz w:val="21"/>
                <w:szCs w:val="21"/>
                <w:highlight w:val="none"/>
                <w:lang w:val="en-US" w:eastAsia="zh-CN"/>
              </w:rPr>
              <w:t>2</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35BFB34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cs="Arial"/>
                <w:sz w:val="21"/>
                <w:szCs w:val="21"/>
                <w:highlight w:val="none"/>
                <w:lang w:val="en-US" w:eastAsia="zh-CN"/>
              </w:rPr>
              <w:t>120</w:t>
            </w:r>
            <w:r>
              <w:rPr>
                <w:rFonts w:hint="default" w:ascii="Arial" w:hAnsi="Arial" w:eastAsia="宋体" w:cs="Arial"/>
                <w:sz w:val="21"/>
                <w:szCs w:val="21"/>
                <w:highlight w:val="none"/>
              </w:rPr>
              <w:t>℃</w:t>
            </w:r>
            <w:r>
              <w:rPr>
                <w:rFonts w:hint="eastAsia" w:ascii="微软雅黑" w:hAnsi="微软雅黑" w:eastAsia="微软雅黑" w:cs="微软雅黑"/>
                <w:sz w:val="21"/>
                <w:szCs w:val="21"/>
                <w:highlight w:val="none"/>
              </w:rPr>
              <w:t>≤</w:t>
            </w:r>
            <w:r>
              <w:rPr>
                <w:rFonts w:hint="default" w:ascii="Arial" w:hAnsi="Arial" w:eastAsia="宋体" w:cs="Arial"/>
                <w:sz w:val="21"/>
                <w:szCs w:val="21"/>
                <w:highlight w:val="none"/>
              </w:rPr>
              <w:t>T＜</w:t>
            </w:r>
            <w:r>
              <w:rPr>
                <w:rFonts w:hint="default" w:ascii="Arial" w:hAnsi="Arial" w:cs="Arial"/>
                <w:sz w:val="21"/>
                <w:szCs w:val="21"/>
                <w:highlight w:val="none"/>
                <w:lang w:val="en-US" w:eastAsia="zh-CN"/>
              </w:rPr>
              <w:t>40</w:t>
            </w:r>
            <w:r>
              <w:rPr>
                <w:rFonts w:hint="default" w:ascii="Arial" w:hAnsi="Arial" w:eastAsia="宋体" w:cs="Arial"/>
                <w:sz w:val="21"/>
                <w:szCs w:val="21"/>
                <w:highlight w:val="none"/>
              </w:rPr>
              <w:t>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35190C5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eastAsia" w:ascii="Arial" w:hAnsi="Arial" w:cs="Arial"/>
                <w:sz w:val="21"/>
                <w:szCs w:val="21"/>
                <w:highlight w:val="none"/>
                <w:lang w:eastAsia="zh-CN"/>
              </w:rPr>
              <w:t>无机</w:t>
            </w:r>
            <w:r>
              <w:rPr>
                <w:rFonts w:hint="default" w:ascii="Arial" w:hAnsi="Arial" w:eastAsia="宋体" w:cs="Arial"/>
                <w:sz w:val="21"/>
                <w:szCs w:val="21"/>
                <w:highlight w:val="none"/>
              </w:rPr>
              <w:t>富锌底漆</w:t>
            </w:r>
          </w:p>
          <w:p w14:paraId="6C571CA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eastAsia" w:ascii="Arial" w:hAnsi="Arial" w:cs="Arial"/>
                <w:sz w:val="21"/>
                <w:szCs w:val="21"/>
                <w:highlight w:val="none"/>
                <w:lang w:eastAsia="zh-CN"/>
              </w:rPr>
              <w:t>有机硅耐热</w:t>
            </w:r>
            <w:r>
              <w:rPr>
                <w:rFonts w:hint="default" w:ascii="Arial" w:hAnsi="Arial" w:eastAsia="宋体" w:cs="Arial"/>
                <w:sz w:val="21"/>
                <w:szCs w:val="21"/>
                <w:highlight w:val="none"/>
              </w:rPr>
              <w:t>漆</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2EAD802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cs="Arial"/>
                <w:sz w:val="21"/>
                <w:szCs w:val="21"/>
                <w:highlight w:val="none"/>
                <w:lang w:val="en-US" w:eastAsia="zh-CN"/>
              </w:rPr>
            </w:pPr>
            <w:r>
              <w:rPr>
                <w:rFonts w:hint="eastAsia" w:ascii="Arial" w:hAnsi="Arial" w:cs="Arial"/>
                <w:sz w:val="21"/>
                <w:szCs w:val="21"/>
                <w:highlight w:val="none"/>
                <w:lang w:val="en-US" w:eastAsia="zh-CN"/>
              </w:rPr>
              <w:t>50</w:t>
            </w:r>
          </w:p>
          <w:p w14:paraId="77C11DF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21"/>
                <w:szCs w:val="21"/>
                <w:highlight w:val="none"/>
                <w:lang w:val="en-US" w:eastAsia="zh-CN"/>
              </w:rPr>
            </w:pPr>
            <w:r>
              <w:rPr>
                <w:rFonts w:hint="eastAsia" w:ascii="Arial" w:hAnsi="Arial" w:cs="Arial"/>
                <w:sz w:val="21"/>
                <w:szCs w:val="21"/>
                <w:highlight w:val="none"/>
                <w:lang w:val="en-US" w:eastAsia="zh-CN"/>
              </w:rPr>
              <w:t>25</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00CC0D0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cs="Arial"/>
                <w:sz w:val="21"/>
                <w:szCs w:val="21"/>
                <w:highlight w:val="none"/>
                <w:lang w:val="en-US" w:eastAsia="zh-CN"/>
              </w:rPr>
            </w:pPr>
            <w:r>
              <w:rPr>
                <w:rFonts w:hint="eastAsia" w:ascii="Arial" w:hAnsi="Arial" w:cs="Arial"/>
                <w:sz w:val="21"/>
                <w:szCs w:val="21"/>
                <w:highlight w:val="none"/>
                <w:lang w:val="en-US" w:eastAsia="zh-CN"/>
              </w:rPr>
              <w:t>1</w:t>
            </w:r>
          </w:p>
          <w:p w14:paraId="33C8FFF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cs="Arial"/>
                <w:sz w:val="21"/>
                <w:szCs w:val="21"/>
                <w:highlight w:val="none"/>
                <w:lang w:val="en-US" w:eastAsia="zh-CN"/>
              </w:rPr>
            </w:pPr>
            <w:r>
              <w:rPr>
                <w:rFonts w:hint="eastAsia" w:ascii="Arial" w:hAnsi="Arial" w:cs="Arial"/>
                <w:sz w:val="21"/>
                <w:szCs w:val="21"/>
                <w:highlight w:val="none"/>
                <w:lang w:val="en-US" w:eastAsia="zh-CN"/>
              </w:rPr>
              <w:t>2</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76CD455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rPr>
            </w:pPr>
            <w:r>
              <w:rPr>
                <w:rFonts w:hint="eastAsia" w:ascii="Arial" w:hAnsi="Arial" w:cs="Arial"/>
                <w:sz w:val="21"/>
                <w:szCs w:val="21"/>
                <w:highlight w:val="none"/>
                <w:lang w:val="en-US" w:eastAsia="zh-CN"/>
              </w:rPr>
              <w:t>100</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5B2EC0A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Sa 2.5</w:t>
            </w:r>
          </w:p>
        </w:tc>
      </w:tr>
      <w:tr w14:paraId="193A6D0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continue"/>
            <w:tcBorders>
              <w:left w:val="single" w:color="auto" w:sz="12" w:space="0"/>
              <w:bottom w:val="single" w:color="auto" w:sz="4" w:space="0"/>
              <w:right w:val="single" w:color="auto" w:sz="4" w:space="0"/>
            </w:tcBorders>
            <w:noWrap w:val="0"/>
            <w:vAlign w:val="center"/>
          </w:tcPr>
          <w:p w14:paraId="406C50D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0D773EE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default" w:ascii="Arial" w:hAnsi="Arial" w:eastAsia="宋体" w:cs="Arial"/>
                <w:sz w:val="21"/>
                <w:szCs w:val="21"/>
                <w:highlight w:val="none"/>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04F7CE7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非绝热碳钢、低合金钢设备和管道</w:t>
            </w:r>
          </w:p>
          <w:p w14:paraId="0E551A5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rPr>
            </w:pPr>
            <w:r>
              <w:rPr>
                <w:rFonts w:hint="default" w:ascii="Arial" w:hAnsi="Arial" w:eastAsia="宋体" w:cs="Arial"/>
                <w:sz w:val="21"/>
                <w:szCs w:val="21"/>
                <w:highlight w:val="none"/>
              </w:rPr>
              <w:t>修补方案</w:t>
            </w:r>
            <w:r>
              <w:rPr>
                <w:rFonts w:hint="eastAsia" w:ascii="Arial" w:hAnsi="Arial" w:cs="Arial"/>
                <w:sz w:val="21"/>
                <w:szCs w:val="21"/>
                <w:highlight w:val="none"/>
                <w:lang w:eastAsia="zh-CN"/>
              </w:rPr>
              <w:t>见</w:t>
            </w:r>
            <w:r>
              <w:rPr>
                <w:rFonts w:hint="eastAsia" w:ascii="Arial" w:hAnsi="Arial" w:cs="Arial"/>
                <w:sz w:val="21"/>
                <w:szCs w:val="21"/>
                <w:highlight w:val="none"/>
                <w:lang w:val="en-US" w:eastAsia="zh-CN"/>
              </w:rPr>
              <w:t>P2TU</w:t>
            </w:r>
          </w:p>
          <w:p w14:paraId="7D9E69F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p>
        </w:tc>
      </w:tr>
      <w:tr w14:paraId="06179FB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restart"/>
            <w:tcBorders>
              <w:top w:val="single" w:color="auto" w:sz="4" w:space="0"/>
              <w:left w:val="single" w:color="auto" w:sz="12" w:space="0"/>
              <w:bottom w:val="single" w:color="auto" w:sz="4" w:space="0"/>
              <w:right w:val="single" w:color="auto" w:sz="4" w:space="0"/>
            </w:tcBorders>
            <w:noWrap w:val="0"/>
            <w:vAlign w:val="center"/>
          </w:tcPr>
          <w:p w14:paraId="360BB76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P3</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29DAD20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-40℃＜T＜120℃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54BEDBC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环氧树脂漆</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5C2786A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100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39D2770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2</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6203368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200</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27095FE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Sa 2.5</w:t>
            </w:r>
          </w:p>
        </w:tc>
      </w:tr>
      <w:tr w14:paraId="0C2DD39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14:paraId="4B7AD3E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09E3C27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0BBF21F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绝热碳钢、低合金钢设备和管道</w:t>
            </w:r>
          </w:p>
          <w:p w14:paraId="24AA94D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修补方案相同</w:t>
            </w:r>
          </w:p>
        </w:tc>
      </w:tr>
      <w:tr w14:paraId="355E25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61" w:hRule="exact"/>
        </w:trPr>
        <w:tc>
          <w:tcPr>
            <w:tcW w:w="0" w:type="auto"/>
            <w:vMerge w:val="restart"/>
            <w:tcBorders>
              <w:top w:val="single" w:color="auto" w:sz="4" w:space="0"/>
              <w:left w:val="single" w:color="auto" w:sz="12" w:space="0"/>
              <w:right w:val="single" w:color="auto" w:sz="4" w:space="0"/>
            </w:tcBorders>
            <w:noWrap w:val="0"/>
            <w:vAlign w:val="center"/>
          </w:tcPr>
          <w:p w14:paraId="72DD419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eastAsia="宋体" w:cs="Arial"/>
                <w:sz w:val="21"/>
                <w:szCs w:val="21"/>
                <w:highlight w:val="none"/>
                <w:lang w:eastAsia="zh-CN"/>
              </w:rPr>
            </w:pPr>
            <w:bookmarkStart w:id="113" w:name="_GoBack"/>
            <w:r>
              <w:rPr>
                <w:rFonts w:hint="default" w:ascii="Arial" w:hAnsi="Arial" w:eastAsia="宋体" w:cs="Arial"/>
                <w:sz w:val="21"/>
                <w:szCs w:val="21"/>
                <w:highlight w:val="none"/>
              </w:rPr>
              <w:t>P</w:t>
            </w:r>
            <w:r>
              <w:rPr>
                <w:rFonts w:hint="eastAsia" w:ascii="Arial" w:hAnsi="Arial" w:cs="Arial"/>
                <w:sz w:val="21"/>
                <w:szCs w:val="21"/>
                <w:highlight w:val="none"/>
                <w:lang w:val="en-US" w:eastAsia="zh-CN"/>
              </w:rPr>
              <w:t>4</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6BD308B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default" w:ascii="Arial" w:hAnsi="Arial" w:cs="Arial"/>
                <w:sz w:val="21"/>
                <w:szCs w:val="21"/>
                <w:highlight w:val="none"/>
                <w:lang w:val="en-US" w:eastAsia="zh-CN"/>
              </w:rPr>
              <w:t>120</w:t>
            </w:r>
            <w:r>
              <w:rPr>
                <w:rFonts w:hint="default" w:ascii="Arial" w:hAnsi="Arial" w:eastAsia="宋体" w:cs="Arial"/>
                <w:sz w:val="21"/>
                <w:szCs w:val="21"/>
                <w:highlight w:val="none"/>
              </w:rPr>
              <w:t>℃</w:t>
            </w:r>
            <w:r>
              <w:rPr>
                <w:rFonts w:hint="eastAsia" w:ascii="微软雅黑" w:hAnsi="微软雅黑" w:eastAsia="微软雅黑" w:cs="微软雅黑"/>
                <w:sz w:val="21"/>
                <w:szCs w:val="21"/>
                <w:highlight w:val="none"/>
              </w:rPr>
              <w:t>≤</w:t>
            </w:r>
            <w:r>
              <w:rPr>
                <w:rFonts w:hint="default" w:ascii="Arial" w:hAnsi="Arial" w:eastAsia="宋体" w:cs="Arial"/>
                <w:sz w:val="21"/>
                <w:szCs w:val="21"/>
                <w:highlight w:val="none"/>
              </w:rPr>
              <w:t>T＜</w:t>
            </w:r>
            <w:r>
              <w:rPr>
                <w:rFonts w:hint="default" w:ascii="Arial" w:hAnsi="Arial" w:cs="Arial"/>
                <w:sz w:val="21"/>
                <w:szCs w:val="21"/>
                <w:highlight w:val="none"/>
                <w:lang w:val="en-US" w:eastAsia="zh-CN"/>
              </w:rPr>
              <w:t>40</w:t>
            </w:r>
            <w:r>
              <w:rPr>
                <w:rFonts w:hint="default" w:ascii="Arial" w:hAnsi="Arial" w:eastAsia="宋体" w:cs="Arial"/>
                <w:sz w:val="21"/>
                <w:szCs w:val="21"/>
                <w:highlight w:val="none"/>
              </w:rPr>
              <w:t>0℃</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539C4F6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eastAsia" w:ascii="Arial" w:hAnsi="Arial" w:cs="Arial"/>
                <w:sz w:val="21"/>
                <w:szCs w:val="21"/>
                <w:highlight w:val="none"/>
                <w:lang w:eastAsia="zh-CN"/>
              </w:rPr>
              <w:t>无机</w:t>
            </w:r>
            <w:r>
              <w:rPr>
                <w:rFonts w:hint="default" w:ascii="Arial" w:hAnsi="Arial" w:eastAsia="宋体" w:cs="Arial"/>
                <w:sz w:val="21"/>
                <w:szCs w:val="21"/>
                <w:highlight w:val="none"/>
              </w:rPr>
              <w:t>富锌底漆</w:t>
            </w:r>
          </w:p>
          <w:p w14:paraId="43BA62F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eastAsia" w:ascii="Arial" w:hAnsi="Arial" w:cs="Arial"/>
                <w:sz w:val="21"/>
                <w:szCs w:val="21"/>
                <w:highlight w:val="none"/>
                <w:lang w:eastAsia="zh-CN"/>
              </w:rPr>
              <w:t>有机硅耐热漆（面漆）</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77840E3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cs="Arial"/>
                <w:sz w:val="21"/>
                <w:szCs w:val="21"/>
                <w:highlight w:val="none"/>
                <w:lang w:val="en-US" w:eastAsia="zh-CN"/>
              </w:rPr>
            </w:pPr>
            <w:r>
              <w:rPr>
                <w:rFonts w:hint="eastAsia" w:ascii="Arial" w:hAnsi="Arial" w:cs="Arial"/>
                <w:sz w:val="21"/>
                <w:szCs w:val="21"/>
                <w:highlight w:val="none"/>
                <w:lang w:val="en-US" w:eastAsia="zh-CN"/>
              </w:rPr>
              <w:t>50</w:t>
            </w:r>
          </w:p>
          <w:p w14:paraId="1123DE3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eastAsia" w:ascii="Arial" w:hAnsi="Arial" w:cs="Arial"/>
                <w:sz w:val="21"/>
                <w:szCs w:val="21"/>
                <w:highlight w:val="none"/>
                <w:lang w:val="en-US" w:eastAsia="zh-CN"/>
              </w:rPr>
              <w:t>25</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1611762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cs="Arial"/>
                <w:sz w:val="21"/>
                <w:szCs w:val="21"/>
                <w:highlight w:val="none"/>
                <w:lang w:val="en-US" w:eastAsia="zh-CN"/>
              </w:rPr>
            </w:pPr>
            <w:r>
              <w:rPr>
                <w:rFonts w:hint="eastAsia" w:ascii="Arial" w:hAnsi="Arial" w:cs="Arial"/>
                <w:sz w:val="21"/>
                <w:szCs w:val="21"/>
                <w:highlight w:val="none"/>
                <w:lang w:val="en-US" w:eastAsia="zh-CN"/>
              </w:rPr>
              <w:t>1</w:t>
            </w:r>
          </w:p>
          <w:p w14:paraId="3AAA89E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Arial" w:hAnsi="Arial" w:eastAsia="宋体" w:cs="Arial"/>
                <w:sz w:val="21"/>
                <w:szCs w:val="21"/>
                <w:highlight w:val="none"/>
                <w:lang w:val="en-US" w:eastAsia="zh-CN" w:bidi="ar-SA"/>
              </w:rPr>
            </w:pPr>
            <w:r>
              <w:rPr>
                <w:rFonts w:hint="eastAsia" w:ascii="Arial" w:hAnsi="Arial" w:cs="Arial"/>
                <w:sz w:val="21"/>
                <w:szCs w:val="21"/>
                <w:highlight w:val="none"/>
                <w:lang w:val="en-US" w:eastAsia="zh-CN"/>
              </w:rPr>
              <w:t>1</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7370268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eastAsia" w:ascii="Arial" w:hAnsi="Arial" w:cs="Arial"/>
                <w:sz w:val="21"/>
                <w:szCs w:val="21"/>
                <w:highlight w:val="none"/>
                <w:lang w:val="en-US" w:eastAsia="zh-CN"/>
              </w:rPr>
              <w:t>75</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6DBCA51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default" w:ascii="Arial" w:hAnsi="Arial" w:eastAsia="宋体" w:cs="Arial"/>
                <w:sz w:val="21"/>
                <w:szCs w:val="21"/>
                <w:highlight w:val="none"/>
              </w:rPr>
              <w:t>Sa 2.5</w:t>
            </w:r>
          </w:p>
        </w:tc>
      </w:tr>
      <w:bookmarkEnd w:id="113"/>
      <w:tr w14:paraId="5E184F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continue"/>
            <w:tcBorders>
              <w:left w:val="single" w:color="auto" w:sz="12" w:space="0"/>
              <w:bottom w:val="single" w:color="auto" w:sz="4" w:space="0"/>
              <w:right w:val="single" w:color="auto" w:sz="4" w:space="0"/>
            </w:tcBorders>
            <w:noWrap w:val="0"/>
            <w:vAlign w:val="center"/>
          </w:tcPr>
          <w:p w14:paraId="235DAA1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2DEA502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r>
              <w:rPr>
                <w:rFonts w:hint="default" w:ascii="Arial" w:hAnsi="Arial" w:eastAsia="宋体" w:cs="Arial"/>
                <w:sz w:val="21"/>
                <w:szCs w:val="21"/>
                <w:highlight w:val="none"/>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3CD3C4F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绝热碳钢、低合金钢设备和管道</w:t>
            </w:r>
          </w:p>
          <w:p w14:paraId="51E18AFE">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rPr>
            </w:pPr>
            <w:r>
              <w:rPr>
                <w:rFonts w:hint="default" w:ascii="Arial" w:hAnsi="Arial" w:eastAsia="宋体" w:cs="Arial"/>
                <w:sz w:val="21"/>
                <w:szCs w:val="21"/>
                <w:highlight w:val="none"/>
              </w:rPr>
              <w:t>修补方案</w:t>
            </w:r>
            <w:r>
              <w:rPr>
                <w:rFonts w:hint="eastAsia" w:ascii="Arial" w:hAnsi="Arial" w:cs="Arial"/>
                <w:sz w:val="21"/>
                <w:szCs w:val="21"/>
                <w:highlight w:val="none"/>
                <w:lang w:eastAsia="zh-CN"/>
              </w:rPr>
              <w:t>见</w:t>
            </w:r>
            <w:r>
              <w:rPr>
                <w:rFonts w:hint="eastAsia" w:ascii="Arial" w:hAnsi="Arial" w:cs="Arial"/>
                <w:sz w:val="21"/>
                <w:szCs w:val="21"/>
                <w:highlight w:val="none"/>
                <w:lang w:val="en-US" w:eastAsia="zh-CN"/>
              </w:rPr>
              <w:t>P4TU</w:t>
            </w:r>
          </w:p>
          <w:p w14:paraId="31AC4E1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lang w:val="en-US" w:eastAsia="zh-CN" w:bidi="ar-SA"/>
              </w:rPr>
            </w:pPr>
          </w:p>
        </w:tc>
      </w:tr>
      <w:tr w14:paraId="4B617B6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restart"/>
            <w:tcBorders>
              <w:top w:val="single" w:color="auto" w:sz="4" w:space="0"/>
              <w:left w:val="single" w:color="auto" w:sz="12" w:space="0"/>
              <w:bottom w:val="single" w:color="auto" w:sz="4" w:space="0"/>
              <w:right w:val="single" w:color="auto" w:sz="4" w:space="0"/>
            </w:tcBorders>
            <w:noWrap w:val="0"/>
            <w:vAlign w:val="center"/>
          </w:tcPr>
          <w:p w14:paraId="7CFF72F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P7</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1AA4848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w:t>
            </w:r>
          </w:p>
        </w:tc>
        <w:tc>
          <w:tcPr>
            <w:tcW w:w="0" w:type="auto"/>
            <w:gridSpan w:val="4"/>
            <w:tcBorders>
              <w:top w:val="single" w:color="auto" w:sz="4" w:space="0"/>
              <w:left w:val="single" w:color="auto" w:sz="4" w:space="0"/>
              <w:bottom w:val="single" w:color="auto" w:sz="4" w:space="0"/>
              <w:right w:val="single" w:color="auto" w:sz="4" w:space="0"/>
            </w:tcBorders>
            <w:noWrap w:val="0"/>
            <w:vAlign w:val="center"/>
          </w:tcPr>
          <w:p w14:paraId="74369A8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专用底漆+聚乙烯防腐胶粘带，总厚度≥1.4mm（按SY/T0414特加强级）</w:t>
            </w:r>
          </w:p>
          <w:p w14:paraId="213BE32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p>
        </w:tc>
        <w:tc>
          <w:tcPr>
            <w:tcW w:w="0" w:type="auto"/>
            <w:tcBorders>
              <w:top w:val="single" w:color="auto" w:sz="4" w:space="0"/>
              <w:left w:val="single" w:color="auto" w:sz="4" w:space="0"/>
              <w:bottom w:val="single" w:color="auto" w:sz="4" w:space="0"/>
              <w:right w:val="single" w:color="auto" w:sz="12" w:space="0"/>
            </w:tcBorders>
            <w:noWrap w:val="0"/>
            <w:vAlign w:val="center"/>
          </w:tcPr>
          <w:p w14:paraId="54D98D8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highlight w:val="none"/>
              </w:rPr>
            </w:pPr>
            <w:r>
              <w:rPr>
                <w:rFonts w:hint="default" w:ascii="Arial" w:hAnsi="Arial" w:eastAsia="宋体" w:cs="Arial"/>
                <w:sz w:val="21"/>
                <w:szCs w:val="21"/>
                <w:highlight w:val="none"/>
              </w:rPr>
              <w:t>Sa 2.5</w:t>
            </w:r>
          </w:p>
        </w:tc>
      </w:tr>
      <w:tr w14:paraId="546BBD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exac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14:paraId="5E0C2F1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59415DF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5C10C9D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埋地的碳钢管道</w:t>
            </w:r>
          </w:p>
        </w:tc>
      </w:tr>
      <w:tr w14:paraId="170424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0" w:type="auto"/>
            <w:vMerge w:val="restart"/>
            <w:tcBorders>
              <w:top w:val="single" w:color="auto" w:sz="4" w:space="0"/>
              <w:left w:val="single" w:color="auto" w:sz="12" w:space="0"/>
              <w:bottom w:val="single" w:color="auto" w:sz="4" w:space="0"/>
              <w:right w:val="single" w:color="auto" w:sz="4" w:space="0"/>
            </w:tcBorders>
            <w:noWrap w:val="0"/>
            <w:vAlign w:val="center"/>
          </w:tcPr>
          <w:p w14:paraId="618FCC7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P8</w:t>
            </w:r>
          </w:p>
          <w:p w14:paraId="7E71CFF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6CD4915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gridSpan w:val="4"/>
            <w:tcBorders>
              <w:top w:val="single" w:color="auto" w:sz="4" w:space="0"/>
              <w:left w:val="single" w:color="auto" w:sz="4" w:space="0"/>
              <w:bottom w:val="single" w:color="auto" w:sz="4" w:space="0"/>
              <w:right w:val="single" w:color="auto" w:sz="4" w:space="0"/>
            </w:tcBorders>
            <w:noWrap w:val="0"/>
            <w:vAlign w:val="center"/>
          </w:tcPr>
          <w:p w14:paraId="292DE72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专用底漆+聚乙烯防腐胶粘带，总厚度≥1.4mm（按SY/T0414特加强级）</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14D27E8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表面清除干净后用供货商建议的特殊磨料</w:t>
            </w:r>
          </w:p>
        </w:tc>
      </w:tr>
      <w:tr w14:paraId="7D098D2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14:paraId="51EBBDE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6CF3DE2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5547986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埋地的不锈钢管道</w:t>
            </w:r>
          </w:p>
        </w:tc>
      </w:tr>
      <w:tr w14:paraId="5FAFC6F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0" w:type="auto"/>
            <w:vMerge w:val="restart"/>
            <w:tcBorders>
              <w:top w:val="single" w:color="auto" w:sz="4" w:space="0"/>
              <w:left w:val="single" w:color="auto" w:sz="12" w:space="0"/>
              <w:bottom w:val="single" w:color="auto" w:sz="4" w:space="0"/>
              <w:right w:val="single" w:color="auto" w:sz="4" w:space="0"/>
            </w:tcBorders>
            <w:noWrap w:val="0"/>
            <w:vAlign w:val="center"/>
          </w:tcPr>
          <w:p w14:paraId="348E32E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P11TU</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7868B5D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653D752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环氧富锌底漆</w:t>
            </w:r>
          </w:p>
          <w:p w14:paraId="0992668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环氧树脂漆</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160B14B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50</w:t>
            </w:r>
          </w:p>
          <w:p w14:paraId="30C97A2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50</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1B0855B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w:t>
            </w:r>
          </w:p>
          <w:p w14:paraId="318B7F0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w:t>
            </w:r>
          </w:p>
        </w:tc>
        <w:tc>
          <w:tcPr>
            <w:tcW w:w="0" w:type="auto"/>
            <w:tcBorders>
              <w:top w:val="single" w:color="auto" w:sz="4" w:space="0"/>
              <w:left w:val="single" w:color="auto" w:sz="4" w:space="0"/>
              <w:bottom w:val="single" w:color="auto" w:sz="4" w:space="0"/>
              <w:right w:val="single" w:color="auto" w:sz="4" w:space="0"/>
            </w:tcBorders>
            <w:noWrap w:val="0"/>
            <w:vAlign w:val="center"/>
          </w:tcPr>
          <w:p w14:paraId="6C9E10A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100</w:t>
            </w:r>
          </w:p>
        </w:tc>
        <w:tc>
          <w:tcPr>
            <w:tcW w:w="0" w:type="auto"/>
            <w:tcBorders>
              <w:top w:val="single" w:color="auto" w:sz="4" w:space="0"/>
              <w:left w:val="single" w:color="auto" w:sz="4" w:space="0"/>
              <w:bottom w:val="single" w:color="auto" w:sz="4" w:space="0"/>
              <w:right w:val="single" w:color="auto" w:sz="12" w:space="0"/>
            </w:tcBorders>
            <w:noWrap w:val="0"/>
            <w:vAlign w:val="center"/>
          </w:tcPr>
          <w:p w14:paraId="2C796BD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根据受损面的类型，对受损面可采取喷砂（Sa2.5），或手工和动力除锈（St3)的方法</w:t>
            </w:r>
          </w:p>
        </w:tc>
      </w:tr>
      <w:tr w14:paraId="45368D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24" w:hRule="atLeast"/>
        </w:trPr>
        <w:tc>
          <w:tcPr>
            <w:tcW w:w="0" w:type="auto"/>
            <w:vMerge w:val="continue"/>
            <w:tcBorders>
              <w:top w:val="single" w:color="auto" w:sz="4" w:space="0"/>
              <w:left w:val="single" w:color="auto" w:sz="12" w:space="0"/>
              <w:bottom w:val="single" w:color="auto" w:sz="4" w:space="0"/>
              <w:right w:val="single" w:color="auto" w:sz="4" w:space="0"/>
            </w:tcBorders>
            <w:noWrap w:val="0"/>
            <w:vAlign w:val="center"/>
          </w:tcPr>
          <w:p w14:paraId="6DDE79E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p>
        </w:tc>
        <w:tc>
          <w:tcPr>
            <w:tcW w:w="0" w:type="auto"/>
            <w:tcBorders>
              <w:top w:val="single" w:color="auto" w:sz="4" w:space="0"/>
              <w:left w:val="single" w:color="auto" w:sz="4" w:space="0"/>
              <w:bottom w:val="single" w:color="auto" w:sz="4" w:space="0"/>
              <w:right w:val="single" w:color="auto" w:sz="4" w:space="0"/>
            </w:tcBorders>
            <w:noWrap w:val="0"/>
            <w:vAlign w:val="center"/>
          </w:tcPr>
          <w:p w14:paraId="41BF8C9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适用范围</w:t>
            </w:r>
          </w:p>
        </w:tc>
        <w:tc>
          <w:tcPr>
            <w:tcW w:w="0" w:type="auto"/>
            <w:gridSpan w:val="5"/>
            <w:tcBorders>
              <w:top w:val="single" w:color="auto" w:sz="4" w:space="0"/>
              <w:left w:val="single" w:color="auto" w:sz="4" w:space="0"/>
              <w:bottom w:val="single" w:color="auto" w:sz="4" w:space="0"/>
              <w:right w:val="single" w:color="auto" w:sz="12" w:space="0"/>
            </w:tcBorders>
            <w:noWrap w:val="0"/>
            <w:vAlign w:val="center"/>
          </w:tcPr>
          <w:p w14:paraId="5BCBFA9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Arial" w:hAnsi="Arial" w:eastAsia="宋体" w:cs="Arial"/>
                <w:sz w:val="21"/>
                <w:szCs w:val="21"/>
              </w:rPr>
            </w:pPr>
            <w:r>
              <w:rPr>
                <w:rFonts w:hint="default" w:ascii="Arial" w:hAnsi="Arial" w:eastAsia="宋体" w:cs="Arial"/>
                <w:sz w:val="21"/>
                <w:szCs w:val="21"/>
              </w:rPr>
              <w:t>镀锌层表面的修补(当且仅当镀锌层表面受损时)</w:t>
            </w:r>
          </w:p>
        </w:tc>
      </w:tr>
    </w:tbl>
    <w:p w14:paraId="61F3B95A">
      <w:pPr>
        <w:pStyle w:val="20"/>
        <w:keepNext w:val="0"/>
        <w:keepLines w:val="0"/>
        <w:pageBreakBefore w:val="0"/>
        <w:tabs>
          <w:tab w:val="left" w:pos="0"/>
        </w:tabs>
        <w:kinsoku/>
        <w:wordWrap/>
        <w:overflowPunct/>
        <w:topLinePunct w:val="0"/>
        <w:autoSpaceDE/>
        <w:autoSpaceDN/>
        <w:bidi w:val="0"/>
        <w:snapToGrid w:val="0"/>
        <w:spacing w:line="360" w:lineRule="auto"/>
        <w:ind w:left="0" w:firstLine="0" w:firstLineChars="0"/>
        <w:textAlignment w:val="auto"/>
        <w:rPr>
          <w:rFonts w:hint="default" w:ascii="Arial" w:hAnsi="Arial" w:eastAsia="宋体" w:cs="Arial"/>
          <w:color w:val="auto"/>
          <w:kern w:val="0"/>
          <w:sz w:val="21"/>
          <w:szCs w:val="21"/>
          <w:highlight w:val="none"/>
          <w:shd w:val="clear" w:color="auto" w:fill="auto"/>
        </w:rPr>
      </w:pPr>
      <w:r>
        <w:rPr>
          <w:rFonts w:hint="default" w:ascii="Arial" w:hAnsi="Arial" w:eastAsia="宋体" w:cs="Arial"/>
          <w:color w:val="auto"/>
          <w:kern w:val="0"/>
          <w:sz w:val="21"/>
          <w:szCs w:val="21"/>
          <w:highlight w:val="none"/>
          <w:shd w:val="clear" w:color="auto" w:fill="auto"/>
        </w:rPr>
        <w:t>注：</w:t>
      </w:r>
    </w:p>
    <w:p w14:paraId="37CB40FC">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1</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底漆、面漆厚度和漆膜总厚度按上表要求，涂漆层数可适当调整。</w:t>
      </w:r>
    </w:p>
    <w:p w14:paraId="51AF7535">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2</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设备附属钢结构（包括扶梯、扶手、外壳等）通常按涂漆代码P1的要求涂漆，与设备连为一体的其它附件涂漆要求与设备相同。</w:t>
      </w:r>
    </w:p>
    <w:p w14:paraId="050669E7">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3</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穿过绝热层的管道支架突出部件应按涂漆代码P1的要求涂漆，焊接到管子上的管道支架涂漆要求与管子相同。</w:t>
      </w:r>
    </w:p>
    <w:p w14:paraId="733BB289">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4</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部分绝热的设备的涂漆类别应缩至最小，所有表面包括鞍座都按较高温度段的温度不绝热的工况选择涂漆。</w:t>
      </w:r>
    </w:p>
    <w:p w14:paraId="01773945">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5</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需要对设备基体进行过热指示的，应根据要求涂刷热敏漆。</w:t>
      </w:r>
    </w:p>
    <w:p w14:paraId="1030E4D9">
      <w:pPr>
        <w:pStyle w:val="5"/>
        <w:keepNext w:val="0"/>
        <w:keepLines w:val="0"/>
        <w:pageBreakBefore w:val="0"/>
        <w:numPr>
          <w:ilvl w:val="2"/>
          <w:numId w:val="0"/>
        </w:numPr>
        <w:tabs>
          <w:tab w:val="left" w:pos="0"/>
          <w:tab w:val="left" w:pos="1120"/>
          <w:tab w:val="clear" w:pos="720"/>
        </w:tabs>
        <w:kinsoku/>
        <w:wordWrap/>
        <w:overflowPunct/>
        <w:topLinePunct w:val="0"/>
        <w:autoSpaceDE/>
        <w:autoSpaceDN/>
        <w:bidi w:val="0"/>
        <w:snapToGrid w:val="0"/>
        <w:spacing w:line="360" w:lineRule="auto"/>
        <w:ind w:leftChars="0"/>
        <w:textAlignment w:val="auto"/>
        <w:rPr>
          <w:rFonts w:hint="default" w:ascii="Arial" w:hAnsi="Arial" w:eastAsia="宋体" w:cs="Arial"/>
          <w:color w:val="auto"/>
          <w:sz w:val="21"/>
          <w:szCs w:val="21"/>
          <w:highlight w:val="none"/>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6</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有防热辐射要求的设备和管道应涂刷热反射隔热涂料。其基本组分为改性丙烯酸聚合高分子树脂、改性酮类树脂、特种助剂、颜填料等。热反射隔热涂料面漆性能应满足以下基本要求：反射率≥70%，半球发射率≥60% ，导热系数≤0.25W/cm.℃。</w:t>
      </w:r>
    </w:p>
    <w:p w14:paraId="7383DD81">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Arial" w:hAnsi="Arial" w:eastAsia="宋体" w:cs="Arial"/>
          <w:shd w:val="clear" w:color="auto" w:fill="auto"/>
        </w:rPr>
      </w:pPr>
      <w:r>
        <w:rPr>
          <w:rFonts w:hint="eastAsia" w:ascii="Arial" w:hAnsi="Arial" w:cs="Arial"/>
          <w:color w:val="auto"/>
          <w:sz w:val="21"/>
          <w:szCs w:val="21"/>
          <w:highlight w:val="none"/>
          <w:shd w:val="clear" w:color="auto" w:fill="auto"/>
          <w:lang w:eastAsia="zh-CN"/>
        </w:rPr>
        <w:t>（</w:t>
      </w:r>
      <w:r>
        <w:rPr>
          <w:rFonts w:hint="eastAsia" w:ascii="Arial" w:hAnsi="Arial" w:cs="Arial"/>
          <w:color w:val="auto"/>
          <w:sz w:val="21"/>
          <w:szCs w:val="21"/>
          <w:highlight w:val="none"/>
          <w:shd w:val="clear" w:color="auto" w:fill="auto"/>
          <w:lang w:val="en-US" w:eastAsia="zh-CN"/>
        </w:rPr>
        <w:t>7</w:t>
      </w:r>
      <w:r>
        <w:rPr>
          <w:rFonts w:hint="eastAsia" w:ascii="Arial" w:hAnsi="Arial" w:cs="Arial"/>
          <w:color w:val="auto"/>
          <w:sz w:val="21"/>
          <w:szCs w:val="21"/>
          <w:highlight w:val="none"/>
          <w:shd w:val="clear" w:color="auto" w:fill="auto"/>
          <w:lang w:eastAsia="zh-CN"/>
        </w:rPr>
        <w:t>）</w:t>
      </w:r>
      <w:r>
        <w:rPr>
          <w:rFonts w:hint="default" w:ascii="Arial" w:hAnsi="Arial" w:eastAsia="宋体" w:cs="Arial"/>
          <w:color w:val="auto"/>
          <w:sz w:val="21"/>
          <w:szCs w:val="21"/>
          <w:highlight w:val="none"/>
          <w:shd w:val="clear" w:color="auto" w:fill="auto"/>
        </w:rPr>
        <w:t>油漆的技术指标应符合标准SH/T3022《石油化工设备和管道防腐蚀设计规范》附录D的要求。</w:t>
      </w:r>
      <w:bookmarkEnd w:id="69"/>
    </w:p>
    <w:sectPr>
      <w:headerReference r:id="rId6" w:type="default"/>
      <w:footerReference r:id="rId7" w:type="default"/>
      <w:pgSz w:w="11906" w:h="16838"/>
      <w:pgMar w:top="1440" w:right="879" w:bottom="1440" w:left="1281" w:header="884" w:footer="879" w:gutter="0"/>
      <w:pgBorders>
        <w:top w:val="none" w:sz="0" w:space="0"/>
        <w:left w:val="none" w:sz="0" w:space="0"/>
        <w:bottom w:val="none" w:sz="0" w:space="0"/>
        <w:right w:val="none" w:sz="0" w:space="0"/>
      </w:pgBorders>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script"/>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imesNewRomanPSMT">
    <w:altName w:val="Times New Roman"/>
    <w:panose1 w:val="00000000000000000000"/>
    <w:charset w:val="00"/>
    <w:family w:val="roman"/>
    <w:pitch w:val="default"/>
    <w:sig w:usb0="00000000" w:usb1="00000000" w:usb2="0000001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5C7B3">
    <w:pPr>
      <w:pStyle w:val="6"/>
      <w:spacing w:line="14" w:lineRule="auto"/>
      <w:rPr>
        <w:sz w:val="20"/>
      </w:rPr>
    </w:pPr>
    <w:r>
      <mc:AlternateContent>
        <mc:Choice Requires="wps">
          <w:drawing>
            <wp:anchor distT="0" distB="0" distL="114300" distR="114300" simplePos="0" relativeHeight="251662336" behindDoc="1" locked="0" layoutInCell="1" allowOverlap="1">
              <wp:simplePos x="0" y="0"/>
              <wp:positionH relativeFrom="page">
                <wp:posOffset>3787140</wp:posOffset>
              </wp:positionH>
              <wp:positionV relativeFrom="page">
                <wp:posOffset>9986010</wp:posOffset>
              </wp:positionV>
              <wp:extent cx="166370" cy="1524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66370" cy="152400"/>
                      </a:xfrm>
                      <a:prstGeom prst="rect">
                        <a:avLst/>
                      </a:prstGeom>
                      <a:noFill/>
                      <a:ln>
                        <a:noFill/>
                      </a:ln>
                    </wps:spPr>
                    <wps:txbx>
                      <w:txbxContent>
                        <w:p w14:paraId="0296C403">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20</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98.2pt;margin-top:786.3pt;height:12pt;width:13.1pt;mso-position-horizontal-relative:page;mso-position-vertical-relative:page;z-index:-251654144;mso-width-relative:page;mso-height-relative:page;" filled="f" stroked="f" coordsize="21600,21600" o:gfxdata="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PFTkgHaAAAADQEAAA8AAAAAAAAAAQAgAAAAIgAAAGRycy9kb3ducmV2LnhtbFBLAQIU&#10;ABQAAAAIAIdO4kC5yBDYuAEAAHEDAAAOAAAAAAAAAAEAIAAAACkBAABkcnMvZTJvRG9jLnhtbFBL&#10;BQYAAAAABgAGAFkBAABTBQAAAAA=&#10;">
              <v:fill on="f" focussize="0,0"/>
              <v:stroke on="f"/>
              <v:imagedata o:title=""/>
              <o:lock v:ext="edit" aspectratio="f"/>
              <v:textbox inset="0mm,0mm,0mm,0mm">
                <w:txbxContent>
                  <w:p w14:paraId="0296C403">
                    <w:pPr>
                      <w:spacing w:before="12"/>
                      <w:ind w:left="40" w:right="0" w:firstLine="0"/>
                      <w:jc w:val="left"/>
                      <w:rPr>
                        <w:rFonts w:ascii="Times New Roman"/>
                        <w:sz w:val="18"/>
                      </w:rPr>
                    </w:pPr>
                    <w:r>
                      <w:fldChar w:fldCharType="begin"/>
                    </w:r>
                    <w:r>
                      <w:rPr>
                        <w:rFonts w:ascii="Times New Roman"/>
                        <w:sz w:val="18"/>
                      </w:rPr>
                      <w:instrText xml:space="preserve"> PAGE </w:instrText>
                    </w:r>
                    <w:r>
                      <w:fldChar w:fldCharType="separate"/>
                    </w:r>
                    <w:r>
                      <w:t>20</w:t>
                    </w:r>
                    <w:r>
                      <w:fldChar w:fldCharType="end"/>
                    </w:r>
                  </w:p>
                </w:txbxContent>
              </v:textbox>
            </v:shape>
          </w:pict>
        </mc:Fallback>
      </mc:AlternateContent>
    </w:r>
    <w:r>
      <mc:AlternateContent>
        <mc:Choice Requires="wps">
          <w:drawing>
            <wp:anchor distT="0" distB="0" distL="114300" distR="114300" simplePos="0" relativeHeight="251661312" behindDoc="1" locked="0" layoutInCell="1" allowOverlap="1">
              <wp:simplePos x="0" y="0"/>
              <wp:positionH relativeFrom="page">
                <wp:posOffset>887095</wp:posOffset>
              </wp:positionH>
              <wp:positionV relativeFrom="page">
                <wp:posOffset>9930765</wp:posOffset>
              </wp:positionV>
              <wp:extent cx="5940425"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5940425" cy="0"/>
                      </a:xfrm>
                      <a:prstGeom prst="line">
                        <a:avLst/>
                      </a:prstGeom>
                      <a:ln w="6096"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69.85pt;margin-top:781.95pt;height:0pt;width:467.75pt;mso-position-horizontal-relative:page;mso-position-vertical-relative:page;z-index:-251655168;mso-width-relative:page;mso-height-relative:page;" filled="f" stroked="t" coordsize="21600,21600" o:gfxdata="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sY23uNoAAAAOAQAADwAAAAAAAAABACAAAAAiAAAAZHJzL2Rvd25yZXYueG1s&#10;UEsBAhQAFAAAAAgAh07iQPUGOWP2AQAA5AMAAA4AAAAAAAAAAQAgAAAAKQEAAGRycy9lMm9Eb2Mu&#10;eG1sUEsFBgAAAAAGAAYAWQEAAJEFAAAAAA==&#10;">
              <v:fill on="f" focussize="0,0"/>
              <v:stroke weight="0.48pt" color="#000000" joinstyle="round"/>
              <v:imagedata o:title=""/>
              <o:lock v:ext="edit" aspectratio="f"/>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47213">
    <w:pPr>
      <w:pStyle w:val="8"/>
      <w:pBdr>
        <w:bottom w:val="none" w:color="auto" w:sz="0" w:space="0"/>
      </w:pBdr>
      <w:rPr>
        <w:sz w:val="1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03BAC">
    <w:pPr>
      <w:pStyle w:val="6"/>
      <w:spacing w:line="14" w:lineRule="auto"/>
      <w:rPr>
        <w:sz w:val="20"/>
      </w:rPr>
    </w:pPr>
    <w:r>
      <mc:AlternateContent>
        <mc:Choice Requires="wps">
          <w:drawing>
            <wp:anchor distT="0" distB="0" distL="114300" distR="114300" simplePos="0" relativeHeight="251659264" behindDoc="1" locked="0" layoutInCell="1" allowOverlap="1">
              <wp:simplePos x="0" y="0"/>
              <wp:positionH relativeFrom="page">
                <wp:posOffset>1266825</wp:posOffset>
              </wp:positionH>
              <wp:positionV relativeFrom="page">
                <wp:posOffset>556895</wp:posOffset>
              </wp:positionV>
              <wp:extent cx="5033645" cy="158115"/>
              <wp:effectExtent l="0" t="0" r="0" b="0"/>
              <wp:wrapNone/>
              <wp:docPr id="4" name="文本框 4"/>
              <wp:cNvGraphicFramePr/>
              <a:graphic xmlns:a="http://schemas.openxmlformats.org/drawingml/2006/main">
                <a:graphicData uri="http://schemas.microsoft.com/office/word/2010/wordprocessingShape">
                  <wps:wsp>
                    <wps:cNvSpPr txBox="1"/>
                    <wps:spPr>
                      <a:xfrm>
                        <a:off x="0" y="0"/>
                        <a:ext cx="5033645" cy="158115"/>
                      </a:xfrm>
                      <a:prstGeom prst="rect">
                        <a:avLst/>
                      </a:prstGeom>
                      <a:noFill/>
                      <a:ln>
                        <a:noFill/>
                      </a:ln>
                    </wps:spPr>
                    <wps:txbx>
                      <w:txbxContent>
                        <w:p w14:paraId="4592240B">
                          <w:pPr>
                            <w:ind w:firstLine="630" w:firstLineChars="300"/>
                          </w:pPr>
                        </w:p>
                      </w:txbxContent>
                    </wps:txbx>
                    <wps:bodyPr lIns="0" tIns="0" rIns="0" bIns="0" upright="1"/>
                  </wps:wsp>
                </a:graphicData>
              </a:graphic>
            </wp:anchor>
          </w:drawing>
        </mc:Choice>
        <mc:Fallback>
          <w:pict>
            <v:shape id="_x0000_s1026" o:spid="_x0000_s1026" o:spt="202" type="#_x0000_t202" style="position:absolute;left:0pt;margin-left:99.75pt;margin-top:43.85pt;height:12.45pt;width:396.35pt;mso-position-horizontal-relative:page;mso-position-vertical-relative:page;z-index:-251657216;mso-width-relative:page;mso-height-relative:page;" filled="f" stroked="f" coordsize="21600,21600" o:gfxdata="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ZuftX2AAAAAoBAAAPAAAAAAAAAAEAIAAAACIAAABkcnMvZG93bnJldi54bWxQSwEC&#10;FAAUAAAACACHTuJAF1cbjrsBAAByAwAADgAAAAAAAAABACAAAAAnAQAAZHJzL2Uyb0RvYy54bWxQ&#10;SwUGAAAAAAYABgBZAQAAVAUAAAAA&#10;">
              <v:fill on="f" focussize="0,0"/>
              <v:stroke on="f"/>
              <v:imagedata o:title=""/>
              <o:lock v:ext="edit" aspectratio="f"/>
              <v:textbox inset="0mm,0mm,0mm,0mm">
                <w:txbxContent>
                  <w:p w14:paraId="4592240B">
                    <w:pPr>
                      <w:ind w:firstLine="630" w:firstLineChars="300"/>
                    </w:pPr>
                  </w:p>
                </w:txbxContent>
              </v:textbox>
            </v:shape>
          </w:pict>
        </mc:Fallback>
      </mc:AlternateContent>
    </w:r>
    <w:r>
      <mc:AlternateContent>
        <mc:Choice Requires="wps">
          <w:drawing>
            <wp:anchor distT="0" distB="0" distL="114300" distR="114300" simplePos="0" relativeHeight="251660288" behindDoc="1" locked="0" layoutInCell="1" allowOverlap="1">
              <wp:simplePos x="0" y="0"/>
              <wp:positionH relativeFrom="page">
                <wp:posOffset>899160</wp:posOffset>
              </wp:positionH>
              <wp:positionV relativeFrom="page">
                <wp:posOffset>730250</wp:posOffset>
              </wp:positionV>
              <wp:extent cx="5940425"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940425" cy="0"/>
                      </a:xfrm>
                      <a:prstGeom prst="line">
                        <a:avLst/>
                      </a:prstGeom>
                      <a:ln w="9144"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0.8pt;margin-top:57.5pt;height:0pt;width:467.75pt;mso-position-horizontal-relative:page;mso-position-vertical-relative:page;z-index:-251656192;mso-width-relative:page;mso-height-relative:page;" filled="f" stroked="t" coordsize="21600,21600" o:gfxdata="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nuu/71gAAAAwBAAAPAAAAAAAAAAEAIAAAACIAAABkcnMvZG93bnJldi54bWxQSwEC&#10;FAAUAAAACACHTuJAllvxbPYBAADkAwAADgAAAAAAAAABACAAAAAlAQAAZHJzL2Uyb0RvYy54bWxQ&#10;SwUGAAAAAAYABgBZAQAAjQUAAAAA&#10;">
              <v:fill on="f" focussize="0,0"/>
              <v:stroke weight="0.72pt" color="#000000" joinstyle="round"/>
              <v:imagedata o:title=""/>
              <o:lock v:ext="edit" aspectratio="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F1F19F"/>
    <w:multiLevelType w:val="singleLevel"/>
    <w:tmpl w:val="83F1F19F"/>
    <w:lvl w:ilvl="0" w:tentative="0">
      <w:start w:val="1"/>
      <w:numFmt w:val="decimal"/>
      <w:lvlText w:val="(%1)"/>
      <w:lvlJc w:val="left"/>
      <w:pPr>
        <w:tabs>
          <w:tab w:val="left" w:pos="420"/>
        </w:tabs>
        <w:ind w:left="425" w:hanging="425"/>
      </w:pPr>
      <w:rPr>
        <w:rFonts w:hint="default" w:ascii="Arial" w:hAnsi="Arial"/>
      </w:rPr>
    </w:lvl>
  </w:abstractNum>
  <w:abstractNum w:abstractNumId="1">
    <w:nsid w:val="99129368"/>
    <w:multiLevelType w:val="singleLevel"/>
    <w:tmpl w:val="99129368"/>
    <w:lvl w:ilvl="0" w:tentative="0">
      <w:start w:val="1"/>
      <w:numFmt w:val="decimal"/>
      <w:lvlText w:val="(%1)"/>
      <w:lvlJc w:val="left"/>
      <w:pPr>
        <w:tabs>
          <w:tab w:val="left" w:pos="420"/>
        </w:tabs>
        <w:ind w:left="425" w:hanging="425"/>
      </w:pPr>
      <w:rPr>
        <w:rFonts w:hint="default" w:ascii="Arial" w:hAnsi="Arial"/>
      </w:rPr>
    </w:lvl>
  </w:abstractNum>
  <w:abstractNum w:abstractNumId="2">
    <w:nsid w:val="B0F58F64"/>
    <w:multiLevelType w:val="singleLevel"/>
    <w:tmpl w:val="B0F58F64"/>
    <w:lvl w:ilvl="0" w:tentative="0">
      <w:start w:val="1"/>
      <w:numFmt w:val="lowerLetter"/>
      <w:suff w:val="nothing"/>
      <w:lvlText w:val="%1、"/>
      <w:lvlJc w:val="left"/>
    </w:lvl>
  </w:abstractNum>
  <w:abstractNum w:abstractNumId="3">
    <w:nsid w:val="B381403F"/>
    <w:multiLevelType w:val="singleLevel"/>
    <w:tmpl w:val="B381403F"/>
    <w:lvl w:ilvl="0" w:tentative="0">
      <w:start w:val="1"/>
      <w:numFmt w:val="lowerLetter"/>
      <w:suff w:val="nothing"/>
      <w:lvlText w:val="%1、"/>
      <w:lvlJc w:val="left"/>
    </w:lvl>
  </w:abstractNum>
  <w:abstractNum w:abstractNumId="4">
    <w:nsid w:val="DD6DBD9B"/>
    <w:multiLevelType w:val="singleLevel"/>
    <w:tmpl w:val="DD6DBD9B"/>
    <w:lvl w:ilvl="0" w:tentative="0">
      <w:start w:val="1"/>
      <w:numFmt w:val="decimal"/>
      <w:lvlText w:val="(%1)"/>
      <w:lvlJc w:val="left"/>
      <w:pPr>
        <w:tabs>
          <w:tab w:val="left" w:pos="420"/>
        </w:tabs>
        <w:ind w:left="425" w:hanging="425"/>
      </w:pPr>
      <w:rPr>
        <w:rFonts w:hint="default" w:ascii="Arial" w:hAnsi="Arial"/>
      </w:rPr>
    </w:lvl>
  </w:abstractNum>
  <w:abstractNum w:abstractNumId="5">
    <w:nsid w:val="DF20E69B"/>
    <w:multiLevelType w:val="singleLevel"/>
    <w:tmpl w:val="DF20E69B"/>
    <w:lvl w:ilvl="0" w:tentative="0">
      <w:start w:val="1"/>
      <w:numFmt w:val="decimal"/>
      <w:lvlText w:val="(%1)"/>
      <w:lvlJc w:val="left"/>
      <w:pPr>
        <w:ind w:left="425" w:hanging="425"/>
      </w:pPr>
      <w:rPr>
        <w:rFonts w:hint="default"/>
      </w:rPr>
    </w:lvl>
  </w:abstractNum>
  <w:abstractNum w:abstractNumId="6">
    <w:nsid w:val="FFFFFFFB"/>
    <w:multiLevelType w:val="multilevel"/>
    <w:tmpl w:val="FFFFFFFB"/>
    <w:lvl w:ilvl="0" w:tentative="0">
      <w:start w:val="1"/>
      <w:numFmt w:val="decimal"/>
      <w:pStyle w:val="2"/>
      <w:lvlText w:val="%1.0"/>
      <w:lvlJc w:val="left"/>
      <w:pPr>
        <w:tabs>
          <w:tab w:val="left" w:pos="578"/>
        </w:tabs>
        <w:ind w:left="578" w:hanging="578"/>
      </w:pPr>
      <w:rPr>
        <w:rFonts w:hint="eastAsia" w:ascii="宋体" w:hAnsi="宋体" w:eastAsia="宋体"/>
        <w:sz w:val="21"/>
        <w:szCs w:val="21"/>
      </w:rPr>
    </w:lvl>
    <w:lvl w:ilvl="1" w:tentative="0">
      <w:start w:val="1"/>
      <w:numFmt w:val="decimal"/>
      <w:pStyle w:val="3"/>
      <w:lvlText w:val="%1.%2"/>
      <w:lvlJc w:val="left"/>
      <w:pPr>
        <w:tabs>
          <w:tab w:val="left" w:pos="636"/>
        </w:tabs>
        <w:ind w:left="636" w:hanging="576"/>
      </w:pPr>
      <w:rPr>
        <w:rFonts w:hint="eastAsia"/>
      </w:rPr>
    </w:lvl>
    <w:lvl w:ilvl="2" w:tentative="0">
      <w:start w:val="1"/>
      <w:numFmt w:val="decimal"/>
      <w:pStyle w:val="5"/>
      <w:lvlText w:val="%1.%2.%3"/>
      <w:lvlJc w:val="left"/>
      <w:pPr>
        <w:tabs>
          <w:tab w:val="left" w:pos="720"/>
        </w:tabs>
        <w:ind w:left="720" w:hanging="720"/>
      </w:pPr>
      <w:rPr>
        <w:rFonts w:hint="default" w:ascii="Arial" w:hAnsi="Arial" w:eastAsia="宋体"/>
        <w:b w:val="0"/>
        <w:i w:val="0"/>
        <w:sz w:val="21"/>
        <w:szCs w:val="21"/>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01FB3845"/>
    <w:multiLevelType w:val="singleLevel"/>
    <w:tmpl w:val="01FB3845"/>
    <w:lvl w:ilvl="0" w:tentative="0">
      <w:start w:val="1"/>
      <w:numFmt w:val="decimal"/>
      <w:pStyle w:val="14"/>
      <w:lvlText w:val="表%1　"/>
      <w:lvlJc w:val="left"/>
      <w:pPr>
        <w:tabs>
          <w:tab w:val="left" w:pos="720"/>
        </w:tabs>
        <w:ind w:left="0" w:firstLine="0"/>
      </w:pPr>
      <w:rPr>
        <w:rFonts w:hint="eastAsia"/>
      </w:rPr>
    </w:lvl>
  </w:abstractNum>
  <w:abstractNum w:abstractNumId="8">
    <w:nsid w:val="0B3AD836"/>
    <w:multiLevelType w:val="singleLevel"/>
    <w:tmpl w:val="0B3AD836"/>
    <w:lvl w:ilvl="0" w:tentative="0">
      <w:start w:val="1"/>
      <w:numFmt w:val="decimal"/>
      <w:lvlText w:val="(%1)"/>
      <w:lvlJc w:val="left"/>
      <w:pPr>
        <w:tabs>
          <w:tab w:val="left" w:pos="420"/>
        </w:tabs>
        <w:ind w:left="425" w:hanging="425"/>
      </w:pPr>
      <w:rPr>
        <w:rFonts w:hint="default" w:ascii="Arial" w:hAnsi="Arial"/>
      </w:rPr>
    </w:lvl>
  </w:abstractNum>
  <w:abstractNum w:abstractNumId="9">
    <w:nsid w:val="1C268834"/>
    <w:multiLevelType w:val="singleLevel"/>
    <w:tmpl w:val="1C268834"/>
    <w:lvl w:ilvl="0" w:tentative="0">
      <w:start w:val="1"/>
      <w:numFmt w:val="decimal"/>
      <w:lvlText w:val="(%1)"/>
      <w:lvlJc w:val="left"/>
      <w:pPr>
        <w:tabs>
          <w:tab w:val="left" w:pos="420"/>
        </w:tabs>
        <w:ind w:left="425" w:hanging="425"/>
      </w:pPr>
      <w:rPr>
        <w:rFonts w:hint="default" w:ascii="Arial" w:hAnsi="Arial"/>
      </w:rPr>
    </w:lvl>
  </w:abstractNum>
  <w:abstractNum w:abstractNumId="10">
    <w:nsid w:val="1D1C7D36"/>
    <w:multiLevelType w:val="singleLevel"/>
    <w:tmpl w:val="1D1C7D36"/>
    <w:lvl w:ilvl="0" w:tentative="0">
      <w:start w:val="1"/>
      <w:numFmt w:val="decimal"/>
      <w:lvlText w:val="(%1)"/>
      <w:lvlJc w:val="left"/>
      <w:pPr>
        <w:tabs>
          <w:tab w:val="left" w:pos="420"/>
        </w:tabs>
        <w:ind w:left="425" w:hanging="425"/>
      </w:pPr>
      <w:rPr>
        <w:rFonts w:hint="default" w:ascii="Arial" w:hAnsi="Arial"/>
      </w:rPr>
    </w:lvl>
  </w:abstractNum>
  <w:abstractNum w:abstractNumId="11">
    <w:nsid w:val="254B1A95"/>
    <w:multiLevelType w:val="singleLevel"/>
    <w:tmpl w:val="254B1A95"/>
    <w:lvl w:ilvl="0" w:tentative="0">
      <w:start w:val="1"/>
      <w:numFmt w:val="decimal"/>
      <w:lvlText w:val="(%1)"/>
      <w:lvlJc w:val="left"/>
      <w:pPr>
        <w:tabs>
          <w:tab w:val="left" w:pos="420"/>
        </w:tabs>
        <w:ind w:left="425" w:hanging="425"/>
      </w:pPr>
      <w:rPr>
        <w:rFonts w:hint="default" w:ascii="Arial" w:hAnsi="Arial"/>
      </w:rPr>
    </w:lvl>
  </w:abstractNum>
  <w:abstractNum w:abstractNumId="12">
    <w:nsid w:val="3B576B0D"/>
    <w:multiLevelType w:val="singleLevel"/>
    <w:tmpl w:val="3B576B0D"/>
    <w:lvl w:ilvl="0" w:tentative="0">
      <w:start w:val="1"/>
      <w:numFmt w:val="decimal"/>
      <w:lvlText w:val="(%1)"/>
      <w:lvlJc w:val="left"/>
      <w:pPr>
        <w:tabs>
          <w:tab w:val="left" w:pos="420"/>
        </w:tabs>
        <w:ind w:left="425" w:hanging="425"/>
      </w:pPr>
      <w:rPr>
        <w:rFonts w:hint="default" w:ascii="Arial" w:hAnsi="Arial"/>
      </w:rPr>
    </w:lvl>
  </w:abstractNum>
  <w:abstractNum w:abstractNumId="13">
    <w:nsid w:val="3D14F842"/>
    <w:multiLevelType w:val="singleLevel"/>
    <w:tmpl w:val="3D14F842"/>
    <w:lvl w:ilvl="0" w:tentative="0">
      <w:start w:val="1"/>
      <w:numFmt w:val="decimal"/>
      <w:lvlText w:val="(%1)"/>
      <w:lvlJc w:val="left"/>
      <w:pPr>
        <w:tabs>
          <w:tab w:val="left" w:pos="420"/>
        </w:tabs>
        <w:ind w:left="425" w:hanging="425"/>
      </w:pPr>
      <w:rPr>
        <w:rFonts w:hint="default" w:ascii="Arial" w:hAnsi="Arial"/>
      </w:rPr>
    </w:lvl>
  </w:abstractNum>
  <w:abstractNum w:abstractNumId="14">
    <w:nsid w:val="47F33269"/>
    <w:multiLevelType w:val="singleLevel"/>
    <w:tmpl w:val="47F33269"/>
    <w:lvl w:ilvl="0" w:tentative="0">
      <w:start w:val="1"/>
      <w:numFmt w:val="decimal"/>
      <w:lvlText w:val="(%1)"/>
      <w:lvlJc w:val="left"/>
      <w:pPr>
        <w:tabs>
          <w:tab w:val="left" w:pos="420"/>
        </w:tabs>
        <w:ind w:left="425" w:hanging="425"/>
      </w:pPr>
      <w:rPr>
        <w:rFonts w:hint="default" w:ascii="Arial" w:hAnsi="Arial"/>
      </w:rPr>
    </w:lvl>
  </w:abstractNum>
  <w:abstractNum w:abstractNumId="15">
    <w:nsid w:val="4FA6331C"/>
    <w:multiLevelType w:val="singleLevel"/>
    <w:tmpl w:val="4FA6331C"/>
    <w:lvl w:ilvl="0" w:tentative="0">
      <w:start w:val="1"/>
      <w:numFmt w:val="lowerLetter"/>
      <w:suff w:val="nothing"/>
      <w:lvlText w:val="%1、"/>
      <w:lvlJc w:val="left"/>
    </w:lvl>
  </w:abstractNum>
  <w:abstractNum w:abstractNumId="16">
    <w:nsid w:val="4FBECF2A"/>
    <w:multiLevelType w:val="singleLevel"/>
    <w:tmpl w:val="4FBECF2A"/>
    <w:lvl w:ilvl="0" w:tentative="0">
      <w:start w:val="1"/>
      <w:numFmt w:val="decimal"/>
      <w:lvlText w:val="(%1)"/>
      <w:lvlJc w:val="left"/>
      <w:pPr>
        <w:tabs>
          <w:tab w:val="left" w:pos="420"/>
        </w:tabs>
        <w:ind w:left="425" w:hanging="425"/>
      </w:pPr>
      <w:rPr>
        <w:rFonts w:hint="default" w:ascii="Arial" w:hAnsi="Arial"/>
      </w:rPr>
    </w:lvl>
  </w:abstractNum>
  <w:abstractNum w:abstractNumId="17">
    <w:nsid w:val="7A59A34B"/>
    <w:multiLevelType w:val="singleLevel"/>
    <w:tmpl w:val="7A59A34B"/>
    <w:lvl w:ilvl="0" w:tentative="0">
      <w:start w:val="1"/>
      <w:numFmt w:val="decimal"/>
      <w:lvlText w:val="(%1)"/>
      <w:lvlJc w:val="left"/>
      <w:pPr>
        <w:tabs>
          <w:tab w:val="left" w:pos="420"/>
        </w:tabs>
        <w:ind w:left="425" w:hanging="425"/>
      </w:pPr>
      <w:rPr>
        <w:rFonts w:hint="default" w:ascii="Arial" w:hAnsi="Arial"/>
      </w:rPr>
    </w:lvl>
  </w:abstractNum>
  <w:num w:numId="1">
    <w:abstractNumId w:val="6"/>
  </w:num>
  <w:num w:numId="2">
    <w:abstractNumId w:val="7"/>
  </w:num>
  <w:num w:numId="3">
    <w:abstractNumId w:val="8"/>
  </w:num>
  <w:num w:numId="4">
    <w:abstractNumId w:val="10"/>
  </w:num>
  <w:num w:numId="5">
    <w:abstractNumId w:val="14"/>
  </w:num>
  <w:num w:numId="6">
    <w:abstractNumId w:val="15"/>
  </w:num>
  <w:num w:numId="7">
    <w:abstractNumId w:val="11"/>
  </w:num>
  <w:num w:numId="8">
    <w:abstractNumId w:val="0"/>
  </w:num>
  <w:num w:numId="9">
    <w:abstractNumId w:val="3"/>
  </w:num>
  <w:num w:numId="10">
    <w:abstractNumId w:val="4"/>
  </w:num>
  <w:num w:numId="11">
    <w:abstractNumId w:val="2"/>
  </w:num>
  <w:num w:numId="12">
    <w:abstractNumId w:val="5"/>
  </w:num>
  <w:num w:numId="13">
    <w:abstractNumId w:val="1"/>
  </w:num>
  <w:num w:numId="14">
    <w:abstractNumId w:val="9"/>
  </w:num>
  <w:num w:numId="15">
    <w:abstractNumId w:val="12"/>
  </w:num>
  <w:num w:numId="16">
    <w:abstractNumId w:val="13"/>
  </w:num>
  <w:num w:numId="17">
    <w:abstractNumId w:val="17"/>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105"/>
  <w:drawingGridVerticalSpacing w:val="156"/>
  <w:displayHorizontalDrawingGridEvery w:val="1"/>
  <w:displayVerticalDrawingGridEvery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yNzk0MzdmYzRlYTZmY2ZlZmUxMzVjOGVjMDUwMGEifQ=="/>
  </w:docVars>
  <w:rsids>
    <w:rsidRoot w:val="2FB7607B"/>
    <w:rsid w:val="037A38B6"/>
    <w:rsid w:val="040E6681"/>
    <w:rsid w:val="053D77EB"/>
    <w:rsid w:val="05D046A2"/>
    <w:rsid w:val="095E64B5"/>
    <w:rsid w:val="098F1CD1"/>
    <w:rsid w:val="09C01DFB"/>
    <w:rsid w:val="0A7669ED"/>
    <w:rsid w:val="0E8A0DDC"/>
    <w:rsid w:val="10C7607E"/>
    <w:rsid w:val="11A73A06"/>
    <w:rsid w:val="11A80D06"/>
    <w:rsid w:val="127421DF"/>
    <w:rsid w:val="12A61834"/>
    <w:rsid w:val="15F335E7"/>
    <w:rsid w:val="1BB90093"/>
    <w:rsid w:val="1C1C4F1A"/>
    <w:rsid w:val="1CAF36DE"/>
    <w:rsid w:val="1CBD0F93"/>
    <w:rsid w:val="1F015A0F"/>
    <w:rsid w:val="20592EC7"/>
    <w:rsid w:val="20BD2964"/>
    <w:rsid w:val="248C0B4A"/>
    <w:rsid w:val="27C32B0E"/>
    <w:rsid w:val="28842616"/>
    <w:rsid w:val="2A1C444E"/>
    <w:rsid w:val="2B2B10ED"/>
    <w:rsid w:val="2B573A49"/>
    <w:rsid w:val="2CDA24B1"/>
    <w:rsid w:val="2E1948A2"/>
    <w:rsid w:val="2E5C3FC8"/>
    <w:rsid w:val="2F810ECF"/>
    <w:rsid w:val="2FB7607B"/>
    <w:rsid w:val="33A15FD9"/>
    <w:rsid w:val="3A7C3B7D"/>
    <w:rsid w:val="3D1E6D4F"/>
    <w:rsid w:val="3DE50F86"/>
    <w:rsid w:val="416D399E"/>
    <w:rsid w:val="422363B0"/>
    <w:rsid w:val="429A02E9"/>
    <w:rsid w:val="45676F6B"/>
    <w:rsid w:val="47C22C96"/>
    <w:rsid w:val="47CC41F0"/>
    <w:rsid w:val="492542CE"/>
    <w:rsid w:val="50671B8B"/>
    <w:rsid w:val="55593F60"/>
    <w:rsid w:val="555D3685"/>
    <w:rsid w:val="5628013A"/>
    <w:rsid w:val="5894149F"/>
    <w:rsid w:val="5A52299C"/>
    <w:rsid w:val="603616BA"/>
    <w:rsid w:val="631F6D97"/>
    <w:rsid w:val="63E23270"/>
    <w:rsid w:val="6428738B"/>
    <w:rsid w:val="663A357A"/>
    <w:rsid w:val="6A905608"/>
    <w:rsid w:val="6AAF0A00"/>
    <w:rsid w:val="6C4C785D"/>
    <w:rsid w:val="70700C42"/>
    <w:rsid w:val="782341B2"/>
    <w:rsid w:val="78365EE5"/>
    <w:rsid w:val="7D2A3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pPr>
    <w:rPr>
      <w:rFonts w:ascii="宋体" w:hAnsi="Times New Roman" w:eastAsia="宋体" w:cs="Times New Roman"/>
      <w:sz w:val="21"/>
      <w:lang w:val="en-US" w:eastAsia="zh-CN" w:bidi="ar-SA"/>
    </w:rPr>
  </w:style>
  <w:style w:type="paragraph" w:styleId="2">
    <w:name w:val="heading 1"/>
    <w:next w:val="1"/>
    <w:qFormat/>
    <w:uiPriority w:val="0"/>
    <w:pPr>
      <w:numPr>
        <w:ilvl w:val="0"/>
        <w:numId w:val="1"/>
      </w:numPr>
      <w:spacing w:line="360" w:lineRule="auto"/>
      <w:jc w:val="center"/>
      <w:outlineLvl w:val="0"/>
    </w:pPr>
    <w:rPr>
      <w:rFonts w:ascii="黑体" w:hAnsi="Times New Roman" w:eastAsia="黑体" w:cs="Times New Roman"/>
      <w:b/>
      <w:bCs/>
      <w:sz w:val="32"/>
      <w:szCs w:val="44"/>
      <w:lang w:val="en-US" w:eastAsia="zh-CN" w:bidi="ar-SA"/>
    </w:rPr>
  </w:style>
  <w:style w:type="paragraph" w:styleId="3">
    <w:name w:val="heading 2"/>
    <w:next w:val="4"/>
    <w:qFormat/>
    <w:uiPriority w:val="0"/>
    <w:pPr>
      <w:numPr>
        <w:ilvl w:val="1"/>
        <w:numId w:val="1"/>
      </w:numPr>
      <w:spacing w:before="156" w:beforeLines="50" w:after="156" w:afterLines="50" w:line="360" w:lineRule="auto"/>
      <w:outlineLvl w:val="1"/>
    </w:pPr>
    <w:rPr>
      <w:rFonts w:ascii="宋体" w:hAnsi="Arial" w:eastAsia="宋体" w:cs="Times New Roman"/>
      <w:b/>
      <w:bCs/>
      <w:sz w:val="21"/>
      <w:lang w:val="en-US" w:eastAsia="zh-CN" w:bidi="ar-SA"/>
    </w:rPr>
  </w:style>
  <w:style w:type="paragraph" w:styleId="5">
    <w:name w:val="heading 3"/>
    <w:basedOn w:val="1"/>
    <w:next w:val="1"/>
    <w:qFormat/>
    <w:uiPriority w:val="0"/>
    <w:pPr>
      <w:numPr>
        <w:ilvl w:val="2"/>
        <w:numId w:val="1"/>
      </w:numPr>
      <w:spacing w:line="360" w:lineRule="auto"/>
      <w:outlineLvl w:val="2"/>
    </w:pPr>
    <w:rPr>
      <w:rFonts w:ascii="宋体"/>
      <w:sz w:val="21"/>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4">
    <w:name w:val="段缩进"/>
    <w:qFormat/>
    <w:uiPriority w:val="0"/>
    <w:pPr>
      <w:spacing w:line="360" w:lineRule="auto"/>
      <w:ind w:firstLine="200" w:firstLineChars="200"/>
    </w:pPr>
    <w:rPr>
      <w:rFonts w:ascii="宋体" w:hAnsi="Times New Roman" w:eastAsia="宋体" w:cs="Times New Roman"/>
      <w:sz w:val="21"/>
      <w:lang w:val="en-US" w:eastAsia="zh-CN" w:bidi="ar-SA"/>
    </w:rPr>
  </w:style>
  <w:style w:type="paragraph" w:styleId="6">
    <w:name w:val="Body Text"/>
    <w:basedOn w:val="1"/>
    <w:qFormat/>
    <w:uiPriority w:val="0"/>
    <w:pPr>
      <w:widowControl w:val="0"/>
      <w:spacing w:line="240" w:lineRule="auto"/>
      <w:jc w:val="both"/>
    </w:pPr>
    <w:rPr>
      <w:color w:val="FF0000"/>
      <w:kern w:val="2"/>
      <w:szCs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rPr>
  </w:style>
  <w:style w:type="paragraph" w:styleId="9">
    <w:name w:val="toc 1"/>
    <w:next w:val="1"/>
    <w:qFormat/>
    <w:uiPriority w:val="39"/>
    <w:pPr>
      <w:spacing w:line="360" w:lineRule="auto"/>
      <w:outlineLvl w:val="0"/>
    </w:pPr>
    <w:rPr>
      <w:rFonts w:ascii="宋体" w:hAnsi="Times New Roman" w:eastAsia="宋体" w:cs="Times New Roman"/>
      <w:sz w:val="21"/>
      <w:lang w:val="en-US" w:eastAsia="zh-CN" w:bidi="ar-SA"/>
    </w:rPr>
  </w:style>
  <w:style w:type="paragraph" w:styleId="10">
    <w:name w:val="toc 2"/>
    <w:next w:val="1"/>
    <w:qFormat/>
    <w:uiPriority w:val="39"/>
    <w:pPr>
      <w:spacing w:line="360" w:lineRule="auto"/>
      <w:outlineLvl w:val="1"/>
    </w:pPr>
    <w:rPr>
      <w:rFonts w:ascii="宋体" w:hAnsi="Times New Roman" w:eastAsia="宋体" w:cs="Times New Roman"/>
      <w:sz w:val="21"/>
      <w:lang w:val="en-US" w:eastAsia="zh-CN" w:bidi="ar-SA"/>
    </w:rPr>
  </w:style>
  <w:style w:type="paragraph" w:customStyle="1" w:styleId="13">
    <w:name w:val="目次、标准名称标题"/>
    <w:next w:val="1"/>
    <w:qFormat/>
    <w:uiPriority w:val="0"/>
    <w:pPr>
      <w:spacing w:line="360" w:lineRule="auto"/>
      <w:jc w:val="center"/>
    </w:pPr>
    <w:rPr>
      <w:rFonts w:ascii="黑体" w:hAnsi="Times New Roman" w:eastAsia="黑体" w:cs="Times New Roman"/>
      <w:b/>
      <w:sz w:val="32"/>
      <w:lang w:val="en-US" w:eastAsia="zh-CN" w:bidi="ar-SA"/>
    </w:rPr>
  </w:style>
  <w:style w:type="paragraph" w:customStyle="1" w:styleId="14">
    <w:name w:val="正文表标题"/>
    <w:next w:val="4"/>
    <w:qFormat/>
    <w:uiPriority w:val="0"/>
    <w:pPr>
      <w:numPr>
        <w:ilvl w:val="0"/>
        <w:numId w:val="2"/>
      </w:numPr>
      <w:tabs>
        <w:tab w:val="clear" w:pos="720"/>
      </w:tabs>
      <w:spacing w:line="360" w:lineRule="auto"/>
      <w:jc w:val="center"/>
    </w:pPr>
    <w:rPr>
      <w:rFonts w:ascii="黑体" w:hAnsi="Times New Roman" w:eastAsia="黑体" w:cs="Times New Roman"/>
      <w:sz w:val="21"/>
      <w:lang w:val="en-US" w:eastAsia="zh-CN" w:bidi="ar-SA"/>
    </w:rPr>
  </w:style>
  <w:style w:type="paragraph" w:customStyle="1" w:styleId="15">
    <w:name w:val="目次、索引正文"/>
    <w:qFormat/>
    <w:uiPriority w:val="0"/>
    <w:pPr>
      <w:spacing w:line="320" w:lineRule="exact"/>
      <w:jc w:val="both"/>
    </w:pPr>
    <w:rPr>
      <w:rFonts w:ascii="宋体" w:hAnsi="Times New Roman" w:eastAsia="宋体" w:cs="Times New Roman"/>
      <w:sz w:val="21"/>
      <w:lang w:val="en-US" w:eastAsia="zh-CN" w:bidi="ar-SA"/>
    </w:rPr>
  </w:style>
  <w:style w:type="character" w:customStyle="1" w:styleId="16">
    <w:name w:val="font91"/>
    <w:basedOn w:val="12"/>
    <w:qFormat/>
    <w:uiPriority w:val="0"/>
    <w:rPr>
      <w:rFonts w:hint="default" w:ascii="Arial" w:hAnsi="Arial" w:cs="Arial"/>
      <w:color w:val="000000"/>
      <w:sz w:val="24"/>
      <w:szCs w:val="24"/>
      <w:u w:val="none"/>
    </w:rPr>
  </w:style>
  <w:style w:type="character" w:customStyle="1" w:styleId="17">
    <w:name w:val="font61"/>
    <w:basedOn w:val="12"/>
    <w:qFormat/>
    <w:uiPriority w:val="0"/>
    <w:rPr>
      <w:rFonts w:hint="eastAsia" w:ascii="宋体" w:hAnsi="宋体" w:eastAsia="宋体" w:cs="宋体"/>
      <w:color w:val="000000"/>
      <w:sz w:val="24"/>
      <w:szCs w:val="24"/>
      <w:u w:val="none"/>
    </w:rPr>
  </w:style>
  <w:style w:type="paragraph" w:customStyle="1" w:styleId="18">
    <w:name w:val="Table Paragraph"/>
    <w:basedOn w:val="1"/>
    <w:qFormat/>
    <w:uiPriority w:val="1"/>
    <w:pPr>
      <w:jc w:val="center"/>
    </w:pPr>
    <w:rPr>
      <w:rFonts w:ascii="Arial" w:hAnsi="Arial" w:eastAsia="Arial" w:cs="Arial"/>
      <w:lang w:val="en-US" w:eastAsia="en-US" w:bidi="en-US"/>
    </w:rPr>
  </w:style>
  <w:style w:type="paragraph" w:customStyle="1" w:styleId="19">
    <w:name w:val="BPDI表格字体"/>
    <w:qFormat/>
    <w:uiPriority w:val="0"/>
    <w:pPr>
      <w:widowControl w:val="0"/>
      <w:adjustRightInd w:val="0"/>
      <w:snapToGrid w:val="0"/>
    </w:pPr>
    <w:rPr>
      <w:rFonts w:ascii="Arial" w:hAnsi="Arial" w:eastAsia="宋体" w:cs="Times New Roman"/>
      <w:kern w:val="2"/>
      <w:sz w:val="21"/>
      <w:szCs w:val="21"/>
      <w:lang w:val="en-US" w:eastAsia="zh-CN" w:bidi="ar-SA"/>
    </w:rPr>
  </w:style>
  <w:style w:type="paragraph" w:customStyle="1" w:styleId="20">
    <w:name w:val="BPDI注"/>
    <w:next w:val="1"/>
    <w:qFormat/>
    <w:uiPriority w:val="0"/>
    <w:pPr>
      <w:widowControl w:val="0"/>
      <w:tabs>
        <w:tab w:val="left" w:pos="1120"/>
      </w:tabs>
      <w:adjustRightInd w:val="0"/>
      <w:snapToGrid w:val="0"/>
      <w:spacing w:line="300" w:lineRule="auto"/>
      <w:ind w:firstLine="200" w:firstLineChars="200"/>
    </w:pPr>
    <w:rPr>
      <w:rFonts w:ascii="Arial" w:hAnsi="Arial"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6294</Words>
  <Characters>7875</Characters>
  <Lines>0</Lines>
  <Paragraphs>0</Paragraphs>
  <TotalTime>148</TotalTime>
  <ScaleCrop>false</ScaleCrop>
  <LinksUpToDate>false</LinksUpToDate>
  <CharactersWithSpaces>8363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2023-05-30T02:12:00Z</dcterms:created>
  <dc:creator>张华</dc:creator>
  <cp:lastModifiedBy>咖喱</cp:lastModifiedBy>
  <dcterms:modified xsi:type="dcterms:W3CDTF">2026-02-10T00:48:26Z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81E62AB166014F778048609DED6B1F0B_13</vt:lpwstr>
  </property>
  <property fmtid="{D5CDD505-2E9C-101B-9397-08002B2CF9AE}" pid="4" name="KSOTemplateDocerSaveRecord">
    <vt:lpwstr>eyJoZGlkIjoiZGMyNzk0MzdmYzRlYTZmY2ZlZmUxMzVjOGVjMDUwMGEiLCJ1c2VySWQiOiIxMjQyMDAxODgxIn0=</vt:lpwstr>
  </property>
</Properties>
</file>