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919D30">
      <w:pPr>
        <w:pageBreakBefore w:val="0"/>
        <w:wordWrap/>
        <w:spacing w:before="160" w:after="0"/>
        <w:ind w:left="0" w:right="0"/>
        <w:jc w:val="center"/>
        <w:textAlignment w:val="auto"/>
        <w:rPr>
          <w:rFonts w:hint="eastAsia" w:ascii="Arial" w:hAnsi="Arial" w:eastAsia="等线" w:cs="Arial"/>
          <w:b/>
          <w:sz w:val="36"/>
          <w:szCs w:val="36"/>
          <w:lang w:val="en-US" w:eastAsia="zh-CN"/>
        </w:rPr>
      </w:pPr>
      <w:r>
        <w:rPr>
          <w:rFonts w:ascii="Arial" w:hAnsi="Arial" w:eastAsia="等线" w:cs="Arial"/>
          <w:b/>
          <w:sz w:val="36"/>
          <w:szCs w:val="36"/>
        </w:rPr>
        <w:t>关于</w:t>
      </w:r>
      <w:r>
        <w:rPr>
          <w:rFonts w:hint="default" w:ascii="Arial" w:hAnsi="Arial" w:eastAsia="等线" w:cs="Arial"/>
          <w:b/>
          <w:sz w:val="36"/>
          <w:szCs w:val="36"/>
          <w:lang w:val="en-US" w:eastAsia="zh-CN"/>
        </w:rPr>
        <w:t>蚌埠延安路大桥及接线工程项目泛光亮化专业分包</w:t>
      </w:r>
      <w:r>
        <w:rPr>
          <w:rFonts w:ascii="Arial" w:hAnsi="Arial" w:eastAsia="等线" w:cs="Arial"/>
          <w:b/>
          <w:sz w:val="36"/>
          <w:szCs w:val="36"/>
        </w:rPr>
        <w:t>项目招标文件相关疑问的回复</w:t>
      </w:r>
      <w:r>
        <w:rPr>
          <w:rFonts w:hint="eastAsia" w:ascii="Arial" w:hAnsi="Arial" w:eastAsia="等线" w:cs="Arial"/>
          <w:b/>
          <w:sz w:val="36"/>
          <w:szCs w:val="36"/>
          <w:lang w:val="en-US" w:eastAsia="zh-CN"/>
        </w:rPr>
        <w:t xml:space="preserve">        </w:t>
      </w:r>
    </w:p>
    <w:p w14:paraId="044660A3">
      <w:pPr>
        <w:pageBreakBefore w:val="0"/>
        <w:wordWrap/>
        <w:spacing w:before="160" w:after="0"/>
        <w:ind w:left="0" w:right="0"/>
        <w:jc w:val="center"/>
        <w:textAlignment w:val="auto"/>
        <w:rPr>
          <w:rFonts w:hint="eastAsia" w:ascii="Arial" w:hAnsi="Arial" w:eastAsia="等线" w:cs="Arial"/>
          <w:b/>
          <w:sz w:val="36"/>
          <w:szCs w:val="36"/>
          <w:lang w:eastAsia="zh-CN"/>
        </w:rPr>
      </w:pPr>
      <w:r>
        <w:rPr>
          <w:rFonts w:hint="eastAsia" w:ascii="Arial" w:hAnsi="Arial" w:eastAsia="等线" w:cs="Arial"/>
          <w:b/>
          <w:sz w:val="36"/>
          <w:szCs w:val="36"/>
          <w:lang w:eastAsia="zh-CN"/>
        </w:rPr>
        <w:t>（</w:t>
      </w:r>
      <w:r>
        <w:rPr>
          <w:rFonts w:ascii="Arial" w:hAnsi="Arial" w:eastAsia="等线" w:cs="Arial"/>
          <w:b/>
          <w:sz w:val="36"/>
          <w:szCs w:val="36"/>
        </w:rPr>
        <w:t>ACEG-202605300001001</w:t>
      </w:r>
      <w:r>
        <w:rPr>
          <w:rFonts w:hint="eastAsia" w:ascii="Arial" w:hAnsi="Arial" w:eastAsia="等线" w:cs="Arial"/>
          <w:b/>
          <w:sz w:val="36"/>
          <w:szCs w:val="36"/>
          <w:lang w:eastAsia="zh-CN"/>
        </w:rPr>
        <w:t>）</w:t>
      </w:r>
    </w:p>
    <w:p w14:paraId="15450A9A">
      <w:pPr>
        <w:pageBreakBefore w:val="0"/>
        <w:wordWrap/>
        <w:spacing w:before="160" w:after="0"/>
        <w:ind w:left="0" w:leftChars="0" w:right="0" w:firstLine="420" w:firstLineChars="175"/>
        <w:jc w:val="left"/>
        <w:textAlignment w:val="auto"/>
        <w:rPr>
          <w:sz w:val="24"/>
        </w:rPr>
      </w:pPr>
      <w:r>
        <w:rPr>
          <w:rFonts w:ascii="宋体" w:hAnsi="宋体" w:eastAsia="宋体" w:cs="宋体"/>
          <w:b w:val="0"/>
          <w:i w:val="0"/>
          <w:spacing w:val="0"/>
          <w:sz w:val="24"/>
        </w:rPr>
        <w:t>各潜在投标人：</w:t>
      </w:r>
    </w:p>
    <w:p w14:paraId="7A444F4A">
      <w:pPr>
        <w:pageBreakBefore w:val="0"/>
        <w:wordWrap/>
        <w:spacing w:before="160" w:after="0"/>
        <w:ind w:left="0" w:leftChars="0" w:right="0" w:firstLine="638" w:firstLineChars="266"/>
        <w:jc w:val="left"/>
        <w:textAlignment w:val="auto"/>
        <w:rPr>
          <w:sz w:val="24"/>
        </w:rPr>
      </w:pPr>
      <w:r>
        <w:rPr>
          <w:rFonts w:ascii="宋体" w:hAnsi="宋体" w:eastAsia="宋体" w:cs="宋体"/>
          <w:b w:val="0"/>
          <w:i w:val="0"/>
          <w:spacing w:val="0"/>
          <w:sz w:val="24"/>
        </w:rPr>
        <w:t>针对各投标人对本项目招标文件及工程量清单提出的疑问，鉴于本工程属于城市重点基础设施与景观亮化项目，涉及智慧亮化课题成果转化及“鲁班奖”申报，对工程质量、设备耐久性及资料完整性有着极严苛的标准。现结合项目实际情况，对相关内容作如下澄清与答复：</w:t>
      </w:r>
    </w:p>
    <w:p w14:paraId="6F845C6F">
      <w:pPr>
        <w:pageBreakBefore w:val="0"/>
        <w:wordWrap/>
        <w:spacing w:before="160" w:after="0"/>
        <w:ind w:left="0" w:leftChars="0" w:right="0" w:firstLine="422" w:firstLineChars="175"/>
        <w:jc w:val="left"/>
        <w:textAlignment w:val="auto"/>
        <w:rPr>
          <w:sz w:val="24"/>
        </w:rPr>
      </w:pPr>
      <w:r>
        <w:rPr>
          <w:rFonts w:ascii="宋体" w:hAnsi="宋体" w:eastAsia="宋体" w:cs="宋体"/>
          <w:b/>
          <w:i w:val="0"/>
          <w:spacing w:val="0"/>
          <w:sz w:val="24"/>
        </w:rPr>
        <w:t>1. 关于“疑问1”的答复（施工检测设备要求）：</w:t>
      </w:r>
    </w:p>
    <w:p w14:paraId="370D84E2">
      <w:pPr>
        <w:pageBreakBefore w:val="0"/>
        <w:wordWrap/>
        <w:spacing w:before="160" w:after="0"/>
        <w:ind w:left="0" w:leftChars="0" w:right="0" w:firstLine="422" w:firstLineChars="175"/>
        <w:jc w:val="left"/>
        <w:textAlignment w:val="auto"/>
        <w:rPr>
          <w:sz w:val="24"/>
        </w:rPr>
      </w:pPr>
      <w:r>
        <w:rPr>
          <w:rFonts w:ascii="宋体" w:hAnsi="宋体" w:eastAsia="宋体" w:cs="宋体"/>
          <w:b/>
          <w:i w:val="0"/>
          <w:spacing w:val="0"/>
          <w:sz w:val="24"/>
        </w:rPr>
        <w:t>不予调整。</w:t>
      </w:r>
    </w:p>
    <w:p w14:paraId="34DF313F">
      <w:pPr>
        <w:pageBreakBefore w:val="0"/>
        <w:wordWrap/>
        <w:spacing w:before="160" w:after="0"/>
        <w:ind w:left="0" w:leftChars="0" w:right="0" w:firstLine="420" w:firstLineChars="175"/>
        <w:jc w:val="left"/>
        <w:textAlignment w:val="auto"/>
        <w:rPr>
          <w:sz w:val="24"/>
        </w:rPr>
      </w:pPr>
      <w:r>
        <w:rPr>
          <w:rFonts w:ascii="宋体" w:hAnsi="宋体" w:eastAsia="宋体" w:cs="宋体"/>
          <w:b w:val="0"/>
          <w:i w:val="0"/>
          <w:spacing w:val="0"/>
          <w:sz w:val="24"/>
        </w:rPr>
        <w:t>本工程</w:t>
      </w:r>
      <w:r>
        <w:rPr>
          <w:rFonts w:hint="eastAsia" w:ascii="宋体" w:hAnsi="宋体" w:cs="宋体"/>
          <w:b w:val="0"/>
          <w:i w:val="0"/>
          <w:spacing w:val="0"/>
          <w:sz w:val="24"/>
          <w:lang w:val="en-US" w:eastAsia="zh-CN"/>
        </w:rPr>
        <w:t>招标范围已</w:t>
      </w:r>
      <w:r>
        <w:rPr>
          <w:rFonts w:ascii="宋体" w:hAnsi="宋体" w:eastAsia="宋体" w:cs="宋体"/>
          <w:b w:val="0"/>
          <w:i w:val="0"/>
          <w:spacing w:val="0"/>
          <w:sz w:val="24"/>
        </w:rPr>
        <w:t>明确包含“桥梁智慧亮化课题成果转化”及“光环境检测实验”等核心内容。招标文件第四章要求的光谱分析仪、分布光度计系统等，是中标单位在后续施工中完成课题实验、确保光环境指标达标以及满足鲁班奖申报资料要求的必要硬件基础。</w:t>
      </w:r>
      <w:r>
        <w:rPr>
          <w:rFonts w:hint="eastAsia" w:ascii="宋体" w:hAnsi="宋体" w:cs="宋体"/>
          <w:b w:val="0"/>
          <w:i w:val="0"/>
          <w:spacing w:val="0"/>
          <w:sz w:val="24"/>
          <w:lang w:val="en-US" w:eastAsia="zh-CN"/>
        </w:rPr>
        <w:t>也是</w:t>
      </w:r>
      <w:r>
        <w:rPr>
          <w:rFonts w:ascii="宋体" w:hAnsi="宋体" w:eastAsia="宋体" w:cs="宋体"/>
          <w:b w:val="0"/>
          <w:i w:val="0"/>
          <w:spacing w:val="0"/>
          <w:sz w:val="24"/>
        </w:rPr>
        <w:t>审查投标人是否具备履约所需的专业检测能力与硬件基础，确保中标后能科学、精准地完成现场调试与验收工作，属于对投标人综合履约能力的合理考察。因此，投标人</w:t>
      </w:r>
      <w:r>
        <w:rPr>
          <w:rFonts w:ascii="宋体" w:hAnsi="宋体" w:eastAsia="宋体" w:cs="宋体"/>
          <w:b/>
          <w:i w:val="0"/>
          <w:spacing w:val="0"/>
          <w:sz w:val="24"/>
        </w:rPr>
        <w:t>必须严格按照招标文件要求</w:t>
      </w:r>
      <w:r>
        <w:rPr>
          <w:rFonts w:ascii="宋体" w:hAnsi="宋体" w:eastAsia="宋体" w:cs="宋体"/>
          <w:b w:val="0"/>
          <w:i w:val="0"/>
          <w:spacing w:val="0"/>
          <w:sz w:val="24"/>
        </w:rPr>
        <w:t>，在投标时提供有效期内的计量校准证书（含CNAS、ilac-MRA标识）或租赁合同及证书原件扫描件，以证明其具备相应的履约与科研检测能力。</w:t>
      </w:r>
    </w:p>
    <w:p w14:paraId="44BD2E86">
      <w:pPr>
        <w:pageBreakBefore w:val="0"/>
        <w:wordWrap/>
        <w:spacing w:before="160" w:after="0"/>
        <w:ind w:left="0" w:leftChars="0" w:right="0" w:firstLine="422" w:firstLineChars="175"/>
        <w:jc w:val="left"/>
        <w:textAlignment w:val="auto"/>
        <w:rPr>
          <w:rFonts w:ascii="宋体" w:hAnsi="宋体" w:eastAsia="宋体" w:cs="宋体"/>
          <w:b/>
          <w:i w:val="0"/>
          <w:spacing w:val="0"/>
          <w:sz w:val="24"/>
        </w:rPr>
      </w:pPr>
      <w:r>
        <w:rPr>
          <w:rFonts w:ascii="宋体" w:hAnsi="宋体" w:eastAsia="宋体" w:cs="宋体"/>
          <w:b/>
          <w:i w:val="0"/>
          <w:spacing w:val="0"/>
          <w:sz w:val="24"/>
        </w:rPr>
        <w:t>2. 关于“疑问2”的答复（灯具参数合理性说明）：</w:t>
      </w:r>
    </w:p>
    <w:p w14:paraId="25B8C1FF">
      <w:pPr>
        <w:pageBreakBefore w:val="0"/>
        <w:wordWrap/>
        <w:spacing w:before="160" w:after="0"/>
        <w:ind w:left="0" w:leftChars="0" w:right="0" w:firstLine="422" w:firstLineChars="175"/>
        <w:jc w:val="left"/>
        <w:textAlignment w:val="auto"/>
        <w:rPr>
          <w:rFonts w:ascii="宋体" w:hAnsi="宋体" w:eastAsia="宋体" w:cs="宋体"/>
          <w:b/>
          <w:i w:val="0"/>
          <w:spacing w:val="0"/>
          <w:sz w:val="24"/>
        </w:rPr>
      </w:pPr>
      <w:r>
        <w:rPr>
          <w:rFonts w:hint="eastAsia" w:ascii="宋体" w:hAnsi="宋体" w:cs="宋体"/>
          <w:b/>
          <w:i w:val="0"/>
          <w:spacing w:val="0"/>
          <w:sz w:val="24"/>
          <w:lang w:val="en-US" w:eastAsia="zh-CN"/>
        </w:rPr>
        <w:t>参数不</w:t>
      </w:r>
      <w:r>
        <w:rPr>
          <w:rFonts w:ascii="宋体" w:hAnsi="宋体" w:eastAsia="宋体" w:cs="宋体"/>
          <w:b/>
          <w:i w:val="0"/>
          <w:spacing w:val="0"/>
          <w:sz w:val="24"/>
        </w:rPr>
        <w:t>调整</w:t>
      </w:r>
      <w:r>
        <w:rPr>
          <w:rFonts w:hint="eastAsia" w:ascii="宋体" w:hAnsi="宋体" w:cs="宋体"/>
          <w:b/>
          <w:i w:val="0"/>
          <w:spacing w:val="0"/>
          <w:sz w:val="24"/>
          <w:lang w:eastAsia="zh-CN"/>
        </w:rPr>
        <w:t>，</w:t>
      </w:r>
      <w:r>
        <w:rPr>
          <w:rFonts w:hint="eastAsia" w:ascii="宋体" w:hAnsi="宋体" w:cs="宋体"/>
          <w:b/>
          <w:i w:val="0"/>
          <w:spacing w:val="0"/>
          <w:sz w:val="24"/>
          <w:lang w:val="en-US" w:eastAsia="zh-CN"/>
        </w:rPr>
        <w:t>检验报告可施工前提供</w:t>
      </w:r>
      <w:r>
        <w:rPr>
          <w:rFonts w:ascii="宋体" w:hAnsi="宋体" w:eastAsia="宋体" w:cs="宋体"/>
          <w:b/>
          <w:i w:val="0"/>
          <w:spacing w:val="0"/>
          <w:sz w:val="24"/>
        </w:rPr>
        <w:t>。</w:t>
      </w:r>
    </w:p>
    <w:p w14:paraId="5E3B09C8">
      <w:pPr>
        <w:keepNext w:val="0"/>
        <w:keepLines w:val="0"/>
        <w:widowControl/>
        <w:numPr>
          <w:ilvl w:val="0"/>
          <w:numId w:val="1"/>
        </w:numPr>
        <w:suppressLineNumbers w:val="0"/>
        <w:ind w:left="0" w:leftChars="0" w:firstLine="420" w:firstLineChars="0"/>
        <w:jc w:val="left"/>
        <w:rPr>
          <w:sz w:val="24"/>
        </w:rPr>
      </w:pPr>
      <w:r>
        <w:rPr>
          <w:rFonts w:ascii="宋体" w:hAnsi="宋体" w:eastAsia="宋体" w:cs="宋体"/>
          <w:b/>
          <w:i w:val="0"/>
          <w:spacing w:val="0"/>
          <w:sz w:val="24"/>
        </w:rPr>
        <w:t>标准依据与等级界定：</w:t>
      </w:r>
      <w:r>
        <w:rPr>
          <w:rFonts w:ascii="宋体" w:hAnsi="宋体" w:eastAsia="宋体" w:cs="宋体"/>
          <w:b w:val="0"/>
          <w:i w:val="0"/>
          <w:spacing w:val="0"/>
          <w:sz w:val="24"/>
        </w:rPr>
        <w:t xml:space="preserve"> WF2等级是我国户外防腐电工产品标准体系中的“户外防强腐蚀型”等级，依据JB/T 953</w:t>
      </w:r>
      <w:r>
        <w:rPr>
          <w:rFonts w:hint="eastAsia" w:ascii="宋体" w:hAnsi="宋体" w:eastAsia="宋体" w:cs="宋体"/>
          <w:b w:val="0"/>
          <w:i w:val="0"/>
          <w:spacing w:val="0"/>
          <w:sz w:val="24"/>
          <w:lang w:val="en-US" w:eastAsia="zh-CN"/>
        </w:rPr>
        <w:t>6</w:t>
      </w:r>
      <w:r>
        <w:rPr>
          <w:rFonts w:ascii="宋体" w:hAnsi="宋体" w:eastAsia="宋体" w:cs="宋体"/>
          <w:b w:val="0"/>
          <w:i w:val="0"/>
          <w:spacing w:val="0"/>
          <w:sz w:val="24"/>
        </w:rPr>
        <w:t>-201</w:t>
      </w:r>
      <w:r>
        <w:rPr>
          <w:rFonts w:hint="eastAsia" w:ascii="宋体" w:hAnsi="宋体" w:eastAsia="宋体" w:cs="宋体"/>
          <w:b w:val="0"/>
          <w:i w:val="0"/>
          <w:spacing w:val="0"/>
          <w:sz w:val="24"/>
          <w:lang w:val="en-US" w:eastAsia="zh-CN"/>
        </w:rPr>
        <w:t>5</w:t>
      </w:r>
      <w:r>
        <w:rPr>
          <w:rFonts w:ascii="宋体" w:hAnsi="宋体" w:eastAsia="宋体" w:cs="宋体"/>
          <w:b w:val="0"/>
          <w:i w:val="0"/>
          <w:spacing w:val="0"/>
          <w:sz w:val="24"/>
        </w:rPr>
        <w:t>《户内户外防腐电工产品环境技术要求》和JB/T 9536-2013《户内户外防腐低压电器环境技术要求》等标准进行分级和检测。该等级要求材料在25年寿命期内腐蚀速率≤0.01mm/年，适</w:t>
      </w:r>
      <w:r>
        <w:rPr>
          <w:rFonts w:ascii="宋体" w:hAnsi="宋体" w:eastAsia="宋体" w:cs="宋体"/>
          <w:kern w:val="0"/>
          <w:sz w:val="24"/>
          <w:szCs w:val="24"/>
          <w:lang w:val="en-US" w:eastAsia="zh-CN" w:bidi="ar"/>
        </w:rPr>
        <w:t>配项目</w:t>
      </w:r>
      <w:r>
        <w:rPr>
          <w:rFonts w:ascii="宋体" w:hAnsi="宋体" w:eastAsia="宋体" w:cs="宋体"/>
          <w:b w:val="0"/>
          <w:i w:val="0"/>
          <w:spacing w:val="0"/>
          <w:sz w:val="24"/>
        </w:rPr>
        <w:t>对工程质量、设备耐久性及资料完整性有着极严苛的标准</w:t>
      </w:r>
      <w:r>
        <w:rPr>
          <w:rFonts w:ascii="宋体" w:hAnsi="宋体" w:eastAsia="宋体" w:cs="宋体"/>
          <w:kern w:val="0"/>
          <w:sz w:val="24"/>
          <w:szCs w:val="24"/>
          <w:lang w:val="en-US" w:eastAsia="zh-CN" w:bidi="ar"/>
        </w:rPr>
        <w:t>需求。</w:t>
      </w:r>
    </w:p>
    <w:p w14:paraId="60530828">
      <w:pPr>
        <w:keepNext w:val="0"/>
        <w:keepLines w:val="0"/>
        <w:widowControl/>
        <w:numPr>
          <w:ilvl w:val="0"/>
          <w:numId w:val="1"/>
        </w:numPr>
        <w:suppressLineNumbers w:val="0"/>
        <w:ind w:left="0" w:leftChars="0" w:firstLine="420" w:firstLineChars="0"/>
        <w:jc w:val="left"/>
        <w:rPr>
          <w:sz w:val="24"/>
        </w:rPr>
      </w:pPr>
      <w:r>
        <w:rPr>
          <w:rFonts w:ascii="宋体" w:hAnsi="宋体" w:eastAsia="宋体" w:cs="宋体"/>
          <w:b/>
          <w:i w:val="0"/>
          <w:spacing w:val="0"/>
          <w:sz w:val="24"/>
        </w:rPr>
        <w:t>环境适应性分析：</w:t>
      </w:r>
      <w:r>
        <w:rPr>
          <w:rFonts w:ascii="宋体" w:hAnsi="宋体" w:eastAsia="宋体" w:cs="宋体"/>
          <w:b w:val="0"/>
          <w:i w:val="0"/>
          <w:spacing w:val="0"/>
          <w:sz w:val="24"/>
        </w:rPr>
        <w:t xml:space="preserve"> 蚌埠作为安徽省重要的工业城市，拥有化工、建材、机械制造等产业，大气环境中客观存在二氧化硫、氮氧化物等工业污染物。同时，桥梁工程长期面临水面高湿度、昼夜温差凝露以及现代城市汽车尾气等复杂考验。WF2等级并非仅适用于沿海高盐雾环境，同样适用于此类内陆工业</w:t>
      </w:r>
      <w:r>
        <w:rPr>
          <w:rFonts w:hint="eastAsia"/>
        </w:rPr>
        <w:t>污染区等具有化学腐蚀风险的环境</w:t>
      </w:r>
      <w:r>
        <w:rPr>
          <w:rFonts w:ascii="宋体" w:hAnsi="宋体" w:eastAsia="宋体" w:cs="宋体"/>
          <w:b w:val="0"/>
          <w:i w:val="0"/>
          <w:spacing w:val="0"/>
          <w:sz w:val="24"/>
        </w:rPr>
        <w:t>及高湿环境。</w:t>
      </w:r>
    </w:p>
    <w:p w14:paraId="376C1C46">
      <w:pPr>
        <w:keepNext w:val="0"/>
        <w:keepLines w:val="0"/>
        <w:widowControl/>
        <w:numPr>
          <w:ilvl w:val="0"/>
          <w:numId w:val="1"/>
        </w:numPr>
        <w:suppressLineNumbers w:val="0"/>
        <w:ind w:left="0" w:leftChars="0" w:firstLine="420" w:firstLineChars="0"/>
        <w:jc w:val="left"/>
        <w:rPr>
          <w:sz w:val="24"/>
        </w:rPr>
      </w:pPr>
      <w:r>
        <w:rPr>
          <w:rFonts w:ascii="宋体" w:hAnsi="宋体" w:eastAsia="宋体" w:cs="宋体"/>
          <w:b/>
          <w:i w:val="0"/>
          <w:spacing w:val="0"/>
          <w:sz w:val="24"/>
        </w:rPr>
        <w:t>全生命周期考量：</w:t>
      </w:r>
      <w:r>
        <w:rPr>
          <w:rFonts w:ascii="宋体" w:hAnsi="宋体" w:eastAsia="宋体" w:cs="宋体"/>
          <w:b w:val="0"/>
          <w:i w:val="0"/>
          <w:spacing w:val="0"/>
          <w:sz w:val="24"/>
        </w:rPr>
        <w:t xml:space="preserve"> 依据标准，防腐等级从W（户外防轻腐蚀型）、WF1（户外防中等腐蚀型）到WF2逐级提高。考虑到桥梁高空作业维护成本极高、难度极大，招标要求WF2等级是出于保障项目长期使用安全、降低全生命周期维护成本的综合考虑。该要求符合本项目打造精品工程的质量定位</w:t>
      </w:r>
      <w:r>
        <w:rPr>
          <w:rFonts w:hint="eastAsia" w:ascii="宋体" w:hAnsi="宋体" w:eastAsia="宋体" w:cs="宋体"/>
          <w:b w:val="0"/>
          <w:i w:val="0"/>
          <w:spacing w:val="0"/>
          <w:sz w:val="24"/>
          <w:lang w:eastAsia="zh-CN"/>
        </w:rPr>
        <w:t>，</w:t>
      </w:r>
      <w:r>
        <w:rPr>
          <w:rFonts w:ascii="宋体" w:hAnsi="宋体" w:eastAsia="宋体" w:cs="宋体"/>
          <w:b w:val="0"/>
          <w:i w:val="0"/>
          <w:spacing w:val="0"/>
          <w:sz w:val="24"/>
        </w:rPr>
        <w:t>故不予调整。</w:t>
      </w:r>
    </w:p>
    <w:p w14:paraId="5C0D21EE">
      <w:pPr>
        <w:pageBreakBefore w:val="0"/>
        <w:wordWrap/>
        <w:spacing w:before="160" w:after="0"/>
        <w:ind w:left="0" w:leftChars="0" w:right="0" w:firstLine="422" w:firstLineChars="175"/>
        <w:jc w:val="left"/>
        <w:textAlignment w:val="auto"/>
        <w:rPr>
          <w:sz w:val="24"/>
        </w:rPr>
      </w:pPr>
      <w:r>
        <w:rPr>
          <w:rFonts w:ascii="宋体" w:hAnsi="宋体" w:eastAsia="宋体" w:cs="宋体"/>
          <w:b/>
          <w:i w:val="0"/>
          <w:spacing w:val="0"/>
          <w:sz w:val="24"/>
        </w:rPr>
        <w:t>3. 关于“疑问3”及其他检测报告的答复：</w:t>
      </w:r>
    </w:p>
    <w:p w14:paraId="553A3981">
      <w:pPr>
        <w:pageBreakBefore w:val="0"/>
        <w:wordWrap/>
        <w:spacing w:before="160" w:after="0"/>
        <w:ind w:left="0" w:leftChars="0" w:right="0" w:firstLine="422" w:firstLineChars="175"/>
        <w:jc w:val="left"/>
        <w:textAlignment w:val="auto"/>
        <w:rPr>
          <w:sz w:val="24"/>
        </w:rPr>
      </w:pPr>
      <w:r>
        <w:rPr>
          <w:rFonts w:hint="eastAsia" w:ascii="宋体" w:hAnsi="宋体" w:cs="宋体"/>
          <w:b/>
          <w:i w:val="0"/>
          <w:spacing w:val="0"/>
          <w:sz w:val="24"/>
          <w:lang w:val="en-US" w:eastAsia="zh-CN"/>
        </w:rPr>
        <w:t>参数不</w:t>
      </w:r>
      <w:r>
        <w:rPr>
          <w:rFonts w:ascii="宋体" w:hAnsi="宋体" w:eastAsia="宋体" w:cs="宋体"/>
          <w:b/>
          <w:i w:val="0"/>
          <w:spacing w:val="0"/>
          <w:sz w:val="24"/>
        </w:rPr>
        <w:t>调整</w:t>
      </w:r>
      <w:r>
        <w:rPr>
          <w:rFonts w:hint="eastAsia" w:ascii="宋体" w:hAnsi="宋体" w:cs="宋体"/>
          <w:b/>
          <w:i w:val="0"/>
          <w:spacing w:val="0"/>
          <w:sz w:val="24"/>
          <w:lang w:eastAsia="zh-CN"/>
        </w:rPr>
        <w:t>，</w:t>
      </w:r>
      <w:r>
        <w:rPr>
          <w:rFonts w:hint="eastAsia" w:ascii="宋体" w:hAnsi="宋体" w:cs="宋体"/>
          <w:b/>
          <w:i w:val="0"/>
          <w:spacing w:val="0"/>
          <w:sz w:val="24"/>
          <w:lang w:val="en-US" w:eastAsia="zh-CN"/>
        </w:rPr>
        <w:t>检验报告可施工前提供，如因检测报告延误工期，工期相应顺延</w:t>
      </w:r>
      <w:r>
        <w:rPr>
          <w:rFonts w:ascii="宋体" w:hAnsi="宋体" w:eastAsia="宋体" w:cs="宋体"/>
          <w:b/>
          <w:i w:val="0"/>
          <w:spacing w:val="0"/>
          <w:sz w:val="24"/>
        </w:rPr>
        <w:t>。</w:t>
      </w:r>
    </w:p>
    <w:p w14:paraId="1E0F92D4">
      <w:pPr>
        <w:pageBreakBefore w:val="0"/>
        <w:numPr>
          <w:ilvl w:val="0"/>
          <w:numId w:val="0"/>
        </w:numPr>
        <w:wordWrap/>
        <w:spacing w:before="160" w:after="0"/>
        <w:ind w:left="0" w:leftChars="0" w:right="0" w:rightChars="0" w:firstLine="420" w:firstLineChars="175"/>
        <w:jc w:val="left"/>
        <w:textAlignment w:val="auto"/>
        <w:rPr>
          <w:sz w:val="24"/>
        </w:rPr>
      </w:pPr>
      <w:r>
        <w:rPr>
          <w:rFonts w:ascii="宋体" w:hAnsi="宋体" w:eastAsia="宋体" w:cs="宋体"/>
          <w:b w:val="0"/>
          <w:i w:val="0"/>
          <w:spacing w:val="0"/>
          <w:sz w:val="24"/>
        </w:rPr>
        <w:t>关于试验时间：GB/T 2423.3-2016《环境试验 第2部分：试验方法 试验Cab:恒定湿热试验》是电工电子产品基础且通用的可靠性试验标准。要求提供“85℃、85%RH、1000小时”的恒定湿热试验报告，是行业内在高可靠性照明产品（尤其是户外桥梁亮化）招标中常见的严苛质量门槛，旨在通过加速老化试验充分验证灯具在极端湿热环境下的光衰与色漂性能，确保产品具备卓越的长期耐候性。。</w:t>
      </w:r>
    </w:p>
    <w:p w14:paraId="3A9BB2D4">
      <w:pPr>
        <w:pageBreakBefore w:val="0"/>
        <w:wordWrap/>
        <w:spacing w:before="160" w:after="0"/>
        <w:ind w:left="0" w:leftChars="0" w:right="0" w:firstLine="420" w:firstLineChars="175"/>
        <w:jc w:val="left"/>
        <w:textAlignment w:val="auto"/>
        <w:rPr>
          <w:sz w:val="24"/>
        </w:rPr>
      </w:pPr>
      <w:r>
        <w:rPr>
          <w:rFonts w:ascii="宋体" w:hAnsi="宋体" w:eastAsia="宋体" w:cs="宋体"/>
          <w:b w:val="0"/>
          <w:i w:val="0"/>
          <w:spacing w:val="0"/>
          <w:sz w:val="24"/>
        </w:rPr>
        <w:t>投标人可在投标阶段不提供以下资料，但</w:t>
      </w:r>
      <w:r>
        <w:rPr>
          <w:rFonts w:ascii="宋体" w:hAnsi="宋体" w:eastAsia="宋体" w:cs="宋体"/>
          <w:b/>
          <w:i w:val="0"/>
          <w:spacing w:val="0"/>
          <w:sz w:val="24"/>
        </w:rPr>
        <w:t>必须在投标文件中提供符合本公告第四条格式要求的《承诺函》</w:t>
      </w:r>
      <w:r>
        <w:rPr>
          <w:rFonts w:ascii="宋体" w:hAnsi="宋体" w:eastAsia="宋体" w:cs="宋体"/>
          <w:b w:val="0"/>
          <w:i w:val="0"/>
          <w:spacing w:val="0"/>
          <w:sz w:val="24"/>
        </w:rPr>
        <w:t>：</w:t>
      </w:r>
    </w:p>
    <w:p w14:paraId="4D4D8478">
      <w:pPr>
        <w:pageBreakBefore w:val="0"/>
        <w:wordWrap/>
        <w:spacing w:before="160" w:after="0"/>
        <w:ind w:left="0" w:leftChars="0" w:right="0" w:firstLine="422" w:firstLineChars="175"/>
        <w:jc w:val="left"/>
        <w:textAlignment w:val="auto"/>
        <w:rPr>
          <w:sz w:val="24"/>
        </w:rPr>
      </w:pPr>
      <w:r>
        <w:rPr>
          <w:rFonts w:ascii="宋体" w:hAnsi="宋体" w:eastAsia="宋体" w:cs="宋体"/>
          <w:b/>
          <w:i w:val="0"/>
          <w:spacing w:val="0"/>
          <w:sz w:val="24"/>
        </w:rPr>
        <w:t xml:space="preserve">4. </w:t>
      </w:r>
      <w:r>
        <w:rPr>
          <w:rFonts w:hint="eastAsia" w:ascii="宋体" w:hAnsi="宋体" w:cs="宋体"/>
          <w:b/>
          <w:i w:val="0"/>
          <w:spacing w:val="0"/>
          <w:sz w:val="24"/>
          <w:lang w:val="en-US" w:eastAsia="zh-CN"/>
        </w:rPr>
        <w:t>招标文件中</w:t>
      </w:r>
      <w:r>
        <w:rPr>
          <w:rFonts w:ascii="宋体" w:hAnsi="宋体" w:eastAsia="宋体" w:cs="宋体"/>
          <w:b/>
          <w:i w:val="0"/>
          <w:spacing w:val="0"/>
          <w:sz w:val="24"/>
        </w:rPr>
        <w:t>关于</w:t>
      </w:r>
      <w:r>
        <w:rPr>
          <w:rFonts w:hint="eastAsia" w:ascii="宋体" w:hAnsi="宋体" w:cs="宋体"/>
          <w:b/>
          <w:i w:val="0"/>
          <w:spacing w:val="0"/>
          <w:sz w:val="24"/>
          <w:lang w:eastAsia="zh-CN"/>
        </w:rPr>
        <w:t>“</w:t>
      </w:r>
      <w:r>
        <w:rPr>
          <w:rFonts w:hint="eastAsia" w:ascii="宋体" w:hAnsi="宋体" w:cs="宋体"/>
          <w:b/>
          <w:i w:val="0"/>
          <w:spacing w:val="0"/>
          <w:sz w:val="24"/>
          <w:lang w:val="en-US" w:eastAsia="zh-CN"/>
        </w:rPr>
        <w:t>LED洗墙灯、开关电源、DMX512主控器、DMX分控制器、DMX信号放大器</w:t>
      </w:r>
      <w:r>
        <w:rPr>
          <w:rFonts w:hint="eastAsia" w:ascii="宋体" w:hAnsi="宋体" w:cs="宋体"/>
          <w:b/>
          <w:i w:val="0"/>
          <w:spacing w:val="0"/>
          <w:sz w:val="24"/>
          <w:lang w:eastAsia="zh-CN"/>
        </w:rPr>
        <w:t>”</w:t>
      </w:r>
      <w:r>
        <w:rPr>
          <w:rFonts w:hint="eastAsia" w:ascii="宋体" w:hAnsi="宋体" w:cs="宋体"/>
          <w:b/>
          <w:i w:val="0"/>
          <w:spacing w:val="0"/>
          <w:sz w:val="24"/>
          <w:lang w:val="en-US" w:eastAsia="zh-CN"/>
        </w:rPr>
        <w:t>需在投标时</w:t>
      </w:r>
      <w:r>
        <w:rPr>
          <w:rFonts w:hint="eastAsia" w:hAnsi="宋体" w:cs="宋体"/>
          <w:b/>
          <w:bCs/>
          <w:color w:val="auto"/>
          <w:sz w:val="24"/>
          <w:szCs w:val="24"/>
          <w:highlight w:val="none"/>
          <w:lang w:val="en-US" w:eastAsia="zh-CN"/>
        </w:rPr>
        <w:t>提供</w:t>
      </w:r>
      <w:r>
        <w:rPr>
          <w:rFonts w:hint="eastAsia"/>
          <w:b/>
          <w:bCs/>
          <w:color w:val="auto"/>
          <w:sz w:val="24"/>
          <w:szCs w:val="24"/>
          <w:highlight w:val="none"/>
          <w:lang w:val="en-US" w:eastAsia="zh-CN"/>
        </w:rPr>
        <w:t>国家级检测/检验报告资料的，如投标人所选授权厂家暂不能提供的，可中标后施工前</w:t>
      </w:r>
      <w:r>
        <w:rPr>
          <w:rFonts w:ascii="宋体" w:hAnsi="宋体" w:eastAsia="宋体" w:cs="宋体"/>
          <w:b/>
          <w:i w:val="0"/>
          <w:spacing w:val="0"/>
          <w:sz w:val="24"/>
        </w:rPr>
        <w:t>提供</w:t>
      </w:r>
      <w:r>
        <w:rPr>
          <w:rFonts w:hint="eastAsia" w:ascii="宋体" w:hAnsi="宋体" w:cs="宋体"/>
          <w:b/>
          <w:i w:val="0"/>
          <w:spacing w:val="0"/>
          <w:sz w:val="24"/>
          <w:lang w:eastAsia="zh-CN"/>
        </w:rPr>
        <w:t>，</w:t>
      </w:r>
      <w:r>
        <w:rPr>
          <w:rFonts w:hint="eastAsia" w:ascii="宋体" w:hAnsi="宋体" w:cs="宋体"/>
          <w:b/>
          <w:i w:val="0"/>
          <w:spacing w:val="0"/>
          <w:sz w:val="24"/>
          <w:lang w:val="en-US" w:eastAsia="zh-CN"/>
        </w:rPr>
        <w:t>但需提供承诺函，必须包含以下内容</w:t>
      </w:r>
      <w:r>
        <w:rPr>
          <w:rFonts w:ascii="宋体" w:hAnsi="宋体" w:eastAsia="宋体" w:cs="宋体"/>
          <w:b/>
          <w:i w:val="0"/>
          <w:spacing w:val="0"/>
          <w:sz w:val="24"/>
        </w:rPr>
        <w:t>（格式自拟，须加盖公章）：</w:t>
      </w:r>
    </w:p>
    <w:p w14:paraId="69FDD12D">
      <w:pPr>
        <w:pageBreakBefore w:val="0"/>
        <w:wordWrap/>
        <w:spacing w:before="160" w:after="0"/>
        <w:ind w:left="0" w:leftChars="0" w:right="0" w:firstLine="420" w:firstLineChars="175"/>
        <w:jc w:val="left"/>
        <w:textAlignment w:val="auto"/>
        <w:rPr>
          <w:rFonts w:hint="eastAsia" w:ascii="宋体" w:hAnsi="宋体" w:eastAsia="宋体" w:cs="宋体"/>
          <w:b w:val="0"/>
          <w:i w:val="0"/>
          <w:spacing w:val="0"/>
          <w:sz w:val="24"/>
          <w:lang w:val="en-US" w:eastAsia="zh-CN"/>
        </w:rPr>
      </w:pPr>
      <w:r>
        <w:rPr>
          <w:rFonts w:ascii="宋体" w:hAnsi="宋体" w:eastAsia="宋体" w:cs="宋体"/>
          <w:b w:val="0"/>
          <w:i w:val="0"/>
          <w:spacing w:val="0"/>
          <w:sz w:val="24"/>
        </w:rPr>
        <w:t>“</w:t>
      </w:r>
      <w:r>
        <w:rPr>
          <w:rFonts w:hint="eastAsia" w:ascii="宋体" w:hAnsi="宋体" w:eastAsia="宋体" w:cs="宋体"/>
          <w:b w:val="0"/>
          <w:i w:val="0"/>
          <w:spacing w:val="0"/>
          <w:sz w:val="24"/>
          <w:lang w:val="en-US" w:eastAsia="zh-CN"/>
        </w:rPr>
        <w:t>1.</w:t>
      </w:r>
      <w:r>
        <w:rPr>
          <w:rFonts w:ascii="宋体" w:hAnsi="宋体" w:eastAsia="宋体" w:cs="宋体"/>
          <w:b w:val="0"/>
          <w:i w:val="0"/>
          <w:spacing w:val="0"/>
          <w:sz w:val="24"/>
        </w:rPr>
        <w:t>若我方有幸中标，我方保证在</w:t>
      </w:r>
      <w:r>
        <w:rPr>
          <w:rFonts w:ascii="宋体" w:hAnsi="宋体" w:eastAsia="宋体" w:cs="宋体"/>
          <w:b/>
          <w:i w:val="0"/>
          <w:spacing w:val="0"/>
          <w:sz w:val="24"/>
        </w:rPr>
        <w:t>正式进场施工前</w:t>
      </w:r>
      <w:r>
        <w:rPr>
          <w:rFonts w:ascii="宋体" w:hAnsi="宋体" w:eastAsia="宋体" w:cs="宋体"/>
          <w:b w:val="0"/>
          <w:i w:val="0"/>
          <w:spacing w:val="0"/>
          <w:sz w:val="24"/>
        </w:rPr>
        <w:t>，向贵方提供符合招标文件及国家相关标准要求的资料原件</w:t>
      </w:r>
      <w:r>
        <w:rPr>
          <w:rFonts w:hint="eastAsia" w:ascii="宋体" w:hAnsi="宋体" w:eastAsia="宋体" w:cs="宋体"/>
          <w:b w:val="0"/>
          <w:i w:val="0"/>
          <w:spacing w:val="0"/>
          <w:sz w:val="24"/>
          <w:lang w:eastAsia="zh-CN"/>
        </w:rPr>
        <w:t>。</w:t>
      </w:r>
    </w:p>
    <w:p w14:paraId="6B3BC17D">
      <w:pPr>
        <w:pageBreakBefore w:val="0"/>
        <w:wordWrap/>
        <w:spacing w:before="160" w:after="0"/>
        <w:ind w:left="0" w:leftChars="0" w:right="0" w:firstLine="420" w:firstLineChars="175"/>
        <w:jc w:val="left"/>
        <w:textAlignment w:val="auto"/>
        <w:rPr>
          <w:sz w:val="24"/>
        </w:rPr>
      </w:pPr>
      <w:r>
        <w:rPr>
          <w:rFonts w:hint="eastAsia" w:ascii="宋体" w:hAnsi="宋体" w:eastAsia="宋体" w:cs="宋体"/>
          <w:b w:val="0"/>
          <w:i w:val="0"/>
          <w:spacing w:val="0"/>
          <w:sz w:val="24"/>
          <w:lang w:val="en-US" w:eastAsia="zh-CN"/>
        </w:rPr>
        <w:t>2</w:t>
      </w:r>
      <w:r>
        <w:rPr>
          <w:rFonts w:ascii="宋体" w:hAnsi="宋体" w:eastAsia="宋体" w:cs="宋体"/>
          <w:b w:val="0"/>
          <w:i w:val="0"/>
          <w:spacing w:val="0"/>
          <w:sz w:val="24"/>
        </w:rPr>
        <w:t>. 我方保证上述提交的所有授权书、认证证书及检测报告真实、合法、有效，且所投产品的各项技术参数完全满足招标文件的要求。</w:t>
      </w:r>
    </w:p>
    <w:p w14:paraId="2F0D83BB">
      <w:pPr>
        <w:pageBreakBefore w:val="0"/>
        <w:wordWrap/>
        <w:spacing w:before="160" w:after="0"/>
        <w:ind w:left="0" w:leftChars="0" w:right="0" w:firstLine="420" w:firstLineChars="175"/>
        <w:jc w:val="left"/>
        <w:textAlignment w:val="auto"/>
        <w:rPr>
          <w:sz w:val="24"/>
        </w:rPr>
      </w:pPr>
      <w:r>
        <w:rPr>
          <w:rFonts w:hint="eastAsia" w:ascii="宋体" w:hAnsi="宋体" w:eastAsia="宋体" w:cs="宋体"/>
          <w:b w:val="0"/>
          <w:i w:val="0"/>
          <w:spacing w:val="0"/>
          <w:sz w:val="24"/>
          <w:lang w:val="en-US" w:eastAsia="zh-CN"/>
        </w:rPr>
        <w:t>3</w:t>
      </w:r>
      <w:r>
        <w:rPr>
          <w:rFonts w:ascii="宋体" w:hAnsi="宋体" w:eastAsia="宋体" w:cs="宋体"/>
          <w:b w:val="0"/>
          <w:i w:val="0"/>
          <w:spacing w:val="0"/>
          <w:sz w:val="24"/>
        </w:rPr>
        <w:t>. 若我方未能在承诺的期限内提供上述资料原件，或提供的资料经核实不符合招标文件技术参数要求，贵方有权直接取消我方的中标资格、解除合同，并追究我方相应的违约责任及由此给贵方造成的一切损失。”</w:t>
      </w:r>
    </w:p>
    <w:p w14:paraId="60D46F2F">
      <w:pPr>
        <w:pageBreakBefore w:val="0"/>
        <w:wordWrap/>
        <w:spacing w:before="160" w:after="0"/>
        <w:ind w:left="0" w:leftChars="0" w:right="0" w:firstLine="420" w:firstLineChars="175"/>
        <w:jc w:val="left"/>
        <w:textAlignment w:val="auto"/>
        <w:rPr>
          <w:rFonts w:ascii="宋体" w:hAnsi="宋体" w:eastAsia="宋体" w:cs="宋体"/>
          <w:b w:val="0"/>
          <w:i w:val="0"/>
          <w:spacing w:val="0"/>
          <w:sz w:val="24"/>
        </w:rPr>
      </w:pPr>
      <w:r>
        <w:rPr>
          <w:rFonts w:ascii="宋体" w:hAnsi="宋体" w:eastAsia="宋体" w:cs="宋体"/>
          <w:b w:val="0"/>
          <w:i w:val="0"/>
          <w:spacing w:val="0"/>
          <w:sz w:val="24"/>
        </w:rPr>
        <w:t>本答疑澄清公告作为招标文件的组成部分，与招标文件具有同等法律效力。本澄清与招标文件表述不一致之处，以本澄清为准。</w:t>
      </w:r>
    </w:p>
    <w:p w14:paraId="1AF2AE28">
      <w:pPr>
        <w:pageBreakBefore w:val="0"/>
        <w:numPr>
          <w:ilvl w:val="0"/>
          <w:numId w:val="2"/>
        </w:numPr>
        <w:wordWrap/>
        <w:spacing w:before="160" w:after="0"/>
        <w:ind w:left="0" w:leftChars="0" w:right="0" w:firstLine="422" w:firstLineChars="175"/>
        <w:jc w:val="left"/>
        <w:textAlignment w:val="auto"/>
        <w:rPr>
          <w:rFonts w:hint="eastAsia" w:ascii="宋体" w:hAnsi="宋体" w:cs="宋体"/>
          <w:b/>
          <w:bCs/>
          <w:i w:val="0"/>
          <w:spacing w:val="0"/>
          <w:sz w:val="24"/>
          <w:lang w:val="en-US" w:eastAsia="zh-CN"/>
        </w:rPr>
      </w:pPr>
      <w:r>
        <w:rPr>
          <w:rFonts w:hint="eastAsia" w:ascii="宋体" w:hAnsi="宋体" w:cs="宋体"/>
          <w:b/>
          <w:bCs/>
          <w:i w:val="0"/>
          <w:spacing w:val="0"/>
          <w:sz w:val="24"/>
          <w:lang w:val="en-US" w:eastAsia="zh-CN"/>
        </w:rPr>
        <w:t>本工程质量标准为合格，且符合设计及相关规范要求。</w:t>
      </w:r>
    </w:p>
    <w:p w14:paraId="6E83261D">
      <w:pPr>
        <w:pageBreakBefore w:val="0"/>
        <w:numPr>
          <w:numId w:val="0"/>
        </w:numPr>
        <w:wordWrap/>
        <w:spacing w:before="160" w:after="0"/>
        <w:ind w:leftChars="175" w:right="0" w:rightChars="0"/>
        <w:jc w:val="left"/>
        <w:textAlignment w:val="auto"/>
        <w:rPr>
          <w:rFonts w:hint="eastAsia" w:ascii="宋体" w:hAnsi="宋体" w:cs="宋体"/>
          <w:b/>
          <w:bCs/>
          <w:i w:val="0"/>
          <w:spacing w:val="0"/>
          <w:sz w:val="24"/>
          <w:lang w:val="en-US" w:eastAsia="zh-CN"/>
        </w:rPr>
      </w:pPr>
    </w:p>
    <w:p w14:paraId="06C1CF54">
      <w:pPr>
        <w:pageBreakBefore w:val="0"/>
        <w:numPr>
          <w:ilvl w:val="0"/>
          <w:numId w:val="0"/>
        </w:numPr>
        <w:wordWrap/>
        <w:spacing w:before="160" w:after="0"/>
        <w:ind w:leftChars="175" w:right="0" w:rightChars="0"/>
        <w:jc w:val="left"/>
        <w:textAlignment w:val="auto"/>
        <w:rPr>
          <w:rFonts w:hint="default" w:ascii="宋体" w:hAnsi="宋体" w:cs="宋体"/>
          <w:b/>
          <w:bCs/>
          <w:i w:val="0"/>
          <w:spacing w:val="0"/>
          <w:sz w:val="24"/>
          <w:lang w:val="en-US" w:eastAsia="zh-CN"/>
        </w:rPr>
      </w:pPr>
      <w:r>
        <w:rPr>
          <w:rFonts w:hint="eastAsia" w:ascii="宋体" w:hAnsi="宋体" w:cs="宋体"/>
          <w:b/>
          <w:bCs/>
          <w:i w:val="0"/>
          <w:spacing w:val="0"/>
          <w:sz w:val="24"/>
          <w:lang w:val="en-US" w:eastAsia="zh-CN"/>
        </w:rPr>
        <w:t xml:space="preserve"> </w:t>
      </w:r>
      <w:bookmarkStart w:id="0" w:name="_GoBack"/>
      <w:bookmarkEnd w:id="0"/>
    </w:p>
    <w:p w14:paraId="0C5011B9">
      <w:pPr>
        <w:pageBreakBefore w:val="0"/>
        <w:wordWrap/>
        <w:spacing w:before="160" w:after="0"/>
        <w:ind w:left="0" w:leftChars="0" w:right="0" w:firstLine="420" w:firstLineChars="175"/>
        <w:jc w:val="center"/>
        <w:textAlignment w:val="auto"/>
        <w:rPr>
          <w:rFonts w:hint="eastAsia" w:ascii="宋体" w:hAnsi="宋体" w:cs="宋体"/>
          <w:b w:val="0"/>
          <w:i w:val="0"/>
          <w:spacing w:val="0"/>
          <w:sz w:val="24"/>
          <w:lang w:val="en-US" w:eastAsia="zh-CN"/>
        </w:rPr>
      </w:pPr>
      <w:r>
        <w:rPr>
          <w:rFonts w:hint="eastAsia" w:ascii="宋体" w:hAnsi="宋体" w:cs="宋体"/>
          <w:b w:val="0"/>
          <w:i w:val="0"/>
          <w:spacing w:val="0"/>
          <w:sz w:val="24"/>
          <w:lang w:val="en-US" w:eastAsia="zh-CN"/>
        </w:rPr>
        <w:t xml:space="preserve">               安徽水利招标中心           </w:t>
      </w:r>
    </w:p>
    <w:p w14:paraId="30BE9633">
      <w:pPr>
        <w:pageBreakBefore w:val="0"/>
        <w:wordWrap/>
        <w:spacing w:before="160" w:after="0"/>
        <w:ind w:left="0" w:leftChars="0" w:right="0" w:firstLine="420" w:firstLineChars="175"/>
        <w:jc w:val="center"/>
        <w:textAlignment w:val="auto"/>
        <w:rPr>
          <w:rFonts w:ascii="宋体" w:hAnsi="宋体" w:eastAsia="宋体" w:cs="宋体"/>
          <w:b w:val="0"/>
          <w:i w:val="0"/>
          <w:spacing w:val="0"/>
          <w:sz w:val="24"/>
        </w:rPr>
      </w:pPr>
      <w:r>
        <w:rPr>
          <w:rFonts w:hint="eastAsia" w:ascii="宋体" w:hAnsi="宋体" w:cs="宋体"/>
          <w:b w:val="0"/>
          <w:i w:val="0"/>
          <w:spacing w:val="0"/>
          <w:sz w:val="24"/>
          <w:lang w:val="en-US" w:eastAsia="zh-CN"/>
        </w:rPr>
        <w:t xml:space="preserve">           </w:t>
      </w:r>
      <w:r>
        <w:rPr>
          <w:rFonts w:ascii="宋体" w:hAnsi="宋体" w:eastAsia="宋体" w:cs="宋体"/>
          <w:b w:val="0"/>
          <w:i w:val="0"/>
          <w:spacing w:val="0"/>
          <w:sz w:val="24"/>
        </w:rPr>
        <w:t>日期：2026年5月15日</w:t>
      </w:r>
    </w:p>
    <w:p w14:paraId="07333087">
      <w:pPr>
        <w:pageBreakBefore w:val="0"/>
        <w:wordWrap/>
        <w:spacing w:before="160" w:after="0"/>
        <w:ind w:left="0" w:leftChars="0" w:right="0" w:firstLine="420" w:firstLineChars="175"/>
        <w:jc w:val="center"/>
        <w:textAlignment w:val="auto"/>
        <w:rPr>
          <w:rFonts w:ascii="宋体" w:hAnsi="宋体" w:eastAsia="宋体" w:cs="宋体"/>
          <w:b w:val="0"/>
          <w:i w:val="0"/>
          <w:spacing w:val="0"/>
          <w:sz w:val="24"/>
        </w:rPr>
      </w:pPr>
    </w:p>
    <w:p w14:paraId="6AEE974F">
      <w:pPr>
        <w:pageBreakBefore w:val="0"/>
        <w:wordWrap/>
        <w:spacing w:before="160" w:after="0"/>
        <w:ind w:left="0" w:leftChars="0" w:right="0" w:firstLine="420" w:firstLineChars="175"/>
        <w:jc w:val="center"/>
        <w:textAlignment w:val="auto"/>
        <w:rPr>
          <w:rFonts w:ascii="宋体" w:hAnsi="宋体" w:eastAsia="宋体" w:cs="宋体"/>
          <w:b w:val="0"/>
          <w:i w:val="0"/>
          <w:spacing w:val="0"/>
          <w:sz w:val="24"/>
        </w:rPr>
      </w:pPr>
    </w:p>
    <w:p w14:paraId="5E8FA36C">
      <w:pPr>
        <w:pageBreakBefore w:val="0"/>
        <w:wordWrap/>
        <w:spacing w:before="160" w:after="0"/>
        <w:ind w:left="0" w:leftChars="0" w:right="0" w:firstLine="420" w:firstLineChars="175"/>
        <w:jc w:val="center"/>
        <w:textAlignment w:val="auto"/>
        <w:rPr>
          <w:rFonts w:ascii="宋体" w:hAnsi="宋体" w:eastAsia="宋体" w:cs="宋体"/>
          <w:b w:val="0"/>
          <w:i w:val="0"/>
          <w:spacing w:val="0"/>
          <w:sz w:val="24"/>
        </w:rPr>
      </w:pPr>
    </w:p>
    <w:p w14:paraId="4984682D">
      <w:pPr>
        <w:pageBreakBefore w:val="0"/>
        <w:wordWrap/>
        <w:spacing w:before="160" w:after="0"/>
        <w:ind w:left="0" w:leftChars="0" w:right="0" w:firstLine="420" w:firstLineChars="175"/>
        <w:jc w:val="left"/>
        <w:textAlignment w:val="auto"/>
        <w:rPr>
          <w:rFonts w:hint="default" w:ascii="宋体" w:hAnsi="宋体" w:eastAsia="宋体" w:cs="宋体"/>
          <w:b w:val="0"/>
          <w:i w:val="0"/>
          <w:spacing w:val="0"/>
          <w:sz w:val="24"/>
          <w:lang w:val="en-US" w:eastAsia="zh-CN"/>
        </w:rPr>
      </w:pPr>
      <w:r>
        <w:rPr>
          <w:rFonts w:hint="eastAsia" w:ascii="宋体" w:hAnsi="宋体" w:cs="宋体"/>
          <w:b w:val="0"/>
          <w:i w:val="0"/>
          <w:spacing w:val="0"/>
          <w:sz w:val="24"/>
          <w:lang w:val="en-US" w:eastAsia="zh-CN"/>
        </w:rPr>
        <w:t xml:space="preserve">                 </w:t>
      </w:r>
    </w:p>
    <w:sectPr>
      <w:headerReference r:id="rId3" w:type="default"/>
      <w:footerReference r:id="rId4" w:type="default"/>
      <w:pgSz w:w="11900" w:h="15840"/>
      <w:pgMar w:top="1440" w:right="1800" w:bottom="1440" w:left="180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AB0DA5"/>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866A9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numPicBullet w:numPicBulletId="0">
    <w:pict>
      <v:shape id="0" type="#_x0000_t75" style="width:64px;height:64px" o:bullet="t">
        <v:imagedata r:id="rId1" o:title=""/>
      </v:shape>
    </w:pict>
  </w:numPicBullet>
  <w:abstractNum w:abstractNumId="0">
    <w:nsid w:val="ABC5AF30"/>
    <w:multiLevelType w:val="singleLevel"/>
    <w:tmpl w:val="ABC5AF30"/>
    <w:lvl w:ilvl="0" w:tentative="0">
      <w:start w:val="5"/>
      <w:numFmt w:val="decimal"/>
      <w:suff w:val="nothing"/>
      <w:lvlText w:val="%1、"/>
      <w:lvlJc w:val="left"/>
    </w:lvl>
  </w:abstractNum>
  <w:abstractNum w:abstractNumId="1">
    <w:nsid w:val="B36A3FC8"/>
    <w:multiLevelType w:val="singleLevel"/>
    <w:tmpl w:val="B36A3FC8"/>
    <w:lvl w:ilvl="0" w:tentative="0">
      <w:start w:val="1"/>
      <w:numFmt w:val="bullet"/>
      <w:lvlText w:val=""/>
      <w:lvlPicBulletId w:val="0"/>
      <w:lvlJc w:val="left"/>
      <w:pPr>
        <w:ind w:left="420" w:hanging="42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isplayHorizontalDrawingGridEvery w:val="1"/>
  <w:displayVerticalDrawingGridEvery w:val="1"/>
  <w:noPunctuationKerning w:val="1"/>
  <w:compat>
    <w:ulTrailSpace/>
    <w:doNotExpandShiftReturn/>
    <w:doNotWrapTextWithPunct/>
    <w:doNotUseEastAsianBreakRules/>
    <w:useFELayout/>
    <w:compatSetting w:name="compatibilityMode" w:uri="http://schemas.microsoft.com/office/word" w:val="15"/>
  </w:compat>
  <w:docVars>
    <w:docVar w:name="commondata" w:val="eyJoZGlkIjoiZTgxNzUyNzI4N2RmOTQ5ZDA5NjdkYWZhZDEwNjM0OWIifQ=="/>
  </w:docVars>
  <w:rsids>
    <w:rsidRoot w:val="00000000"/>
    <w:rsid w:val="0D1A0550"/>
    <w:rsid w:val="10275EE1"/>
    <w:rsid w:val="1493625F"/>
    <w:rsid w:val="19225643"/>
    <w:rsid w:val="1D8D3608"/>
    <w:rsid w:val="34CE2768"/>
    <w:rsid w:val="40F428F0"/>
    <w:rsid w:val="4C9030B7"/>
    <w:rsid w:val="76F95183"/>
    <w:rsid w:val="77925F8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sz w:val="21"/>
      <w:szCs w:val="22"/>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after="120" w:afterLines="0"/>
    </w:pPr>
    <w:rPr>
      <w:rFonts w:ascii="Times New Roman"/>
      <w:kern w:val="2"/>
      <w:sz w:val="21"/>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Pages>
  <Words>1608</Words>
  <Characters>1703</Characters>
  <TotalTime>20</TotalTime>
  <ScaleCrop>false</ScaleCrop>
  <LinksUpToDate>false</LinksUpToDate>
  <CharactersWithSpaces>1766</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2026-05-15T05:25:00Z</dcterms:created>
  <dc:creator>Apache POI</dc:creator>
  <cp:lastModifiedBy>Administrator</cp:lastModifiedBy>
  <dcterms:modified xsi:type="dcterms:W3CDTF">2026-05-15T10:04:45Z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IGC">
    <vt:lpwstr>{"ContentPropagator":"001191440101MA9Y9T4H7A00000","Label":"1","ReservedCode1":"inr+tjSEcdRpw6+HST7CQTRuwXqNmfHidBCL/KxKLuM=","ProduceID":"doc_sgs:b0a808fb-14d7-4c5b-95b5-27363c4d9609","ReservedCode2":"inr+tjSEcdRpw6+HST7CQTRuwXqNmfHidBCL/KxKLuM=","PropagateID":"doc_sgs:b0a808fb-14d7-4c5b-95b5-27363c4d9609","ContentProducer":"001191440101MA9Y9T4H7A00000"}</vt:lpwstr>
  </property>
  <property fmtid="{D5CDD505-2E9C-101B-9397-08002B2CF9AE}" pid="3" name="KSOTemplateDocerSaveRecord">
    <vt:lpwstr>eyJoZGlkIjoiMTQ3MWVkOTViNTg2MDgxNDBhMGIwYzg0M2VkMTE5NGEiLCJ1c2VySWQiOiIxNTg4OTYyMDA0In0=</vt:lpwstr>
  </property>
  <property fmtid="{D5CDD505-2E9C-101B-9397-08002B2CF9AE}" pid="4" name="KSOProductBuildVer">
    <vt:lpwstr>2052-12.1.0.25865</vt:lpwstr>
  </property>
  <property fmtid="{D5CDD505-2E9C-101B-9397-08002B2CF9AE}" pid="5" name="ICV">
    <vt:lpwstr>F9F98978A53E440EADCE973C3D354CC5_13</vt:lpwstr>
  </property>
</Properties>
</file>