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7683F">
      <w:pPr>
        <w:pStyle w:val="2"/>
        <w:ind w:left="0" w:leftChars="0" w:firstLine="0" w:firstLineChars="0"/>
        <w:jc w:val="center"/>
        <w:rPr>
          <w:rFonts w:hint="eastAsia"/>
          <w:b/>
          <w:bCs/>
          <w:sz w:val="36"/>
          <w:szCs w:val="36"/>
          <w:lang w:val="en-US" w:eastAsia="zh-CN"/>
        </w:rPr>
      </w:pPr>
      <w:r>
        <w:rPr>
          <w:rFonts w:hint="eastAsia"/>
          <w:b/>
          <w:bCs/>
          <w:sz w:val="36"/>
          <w:szCs w:val="36"/>
          <w:lang w:val="en-US" w:eastAsia="zh-CN"/>
        </w:rPr>
        <w:t>安徽建工水利公路一公司G318牛头山至大渡口一级公路改建工程一标项目涵洞工程招标文件变更公告</w:t>
      </w:r>
    </w:p>
    <w:p w14:paraId="6801268A">
      <w:pPr>
        <w:pStyle w:val="2"/>
        <w:ind w:left="0" w:leftChars="0" w:firstLine="0" w:firstLineChars="0"/>
        <w:jc w:val="center"/>
        <w:rPr>
          <w:rFonts w:hint="default"/>
          <w:b/>
          <w:bCs/>
          <w:sz w:val="36"/>
          <w:szCs w:val="36"/>
          <w:lang w:val="en-US" w:eastAsia="zh-CN"/>
        </w:rPr>
      </w:pPr>
    </w:p>
    <w:p w14:paraId="1530AD40">
      <w:pPr>
        <w:pStyle w:val="2"/>
        <w:keepNext w:val="0"/>
        <w:keepLines w:val="0"/>
        <w:pageBreakBefore w:val="0"/>
        <w:widowControl w:val="0"/>
        <w:kinsoku/>
        <w:wordWrap/>
        <w:overflowPunct/>
        <w:topLinePunct w:val="0"/>
        <w:autoSpaceDE/>
        <w:autoSpaceDN/>
        <w:bidi w:val="0"/>
        <w:spacing w:line="440" w:lineRule="exact"/>
        <w:ind w:left="0" w:leftChars="0" w:firstLine="0" w:firstLineChars="0"/>
        <w:textAlignment w:val="auto"/>
        <w:rPr>
          <w:rFonts w:hint="eastAsia"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各投标人：</w:t>
      </w:r>
    </w:p>
    <w:p w14:paraId="39B0E50F">
      <w:pPr>
        <w:keepNext w:val="0"/>
        <w:keepLines w:val="0"/>
        <w:pageBreakBefore w:val="0"/>
        <w:widowControl w:val="0"/>
        <w:tabs>
          <w:tab w:val="left" w:pos="7560"/>
        </w:tabs>
        <w:kinsoku/>
        <w:wordWrap/>
        <w:overflowPunct/>
        <w:topLinePunct w:val="0"/>
        <w:autoSpaceDE/>
        <w:autoSpaceDN/>
        <w:bidi w:val="0"/>
        <w:adjustRightInd w:val="0"/>
        <w:snapToGrid w:val="0"/>
        <w:spacing w:beforeLines="20" w:afterLines="20" w:line="44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安徽建工水利公路一公司G318牛头山至大渡口一级公路改建工程一标项目涵洞工程招标</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招标编号：ACEG-202605864001001 ），现澄清如下：</w:t>
      </w:r>
    </w:p>
    <w:p w14:paraId="40B0CDEA">
      <w:pPr>
        <w:pStyle w:val="2"/>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原招标文件第一章投标人资格要求4.拟派现场管理人员要求： “项目负责人、安全员各1人。其中项目负责人需具备公路工程中级及以上职称和交安B证，安全员需要持交安C证。投标时提交以上人员2026年度连续3个月社保缴纳证明以及现场负责人2026年度连续3个月住房公积金缴纳证明（补缴视为无效）”现变更为“项目负责人、安全员各1人。其中项目负责人需具备公路工程中级及以上职称和交安B证，安全员需要持交安C证。投标时提交以上人员2026年度连续3个月社保缴纳证明”。</w:t>
      </w:r>
    </w:p>
    <w:p w14:paraId="668E6F8A">
      <w:pPr>
        <w:pStyle w:val="2"/>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原招标文件第三章综合评分法（C2类）商务文件评分表（B值）</w:t>
      </w:r>
    </w:p>
    <w:tbl>
      <w:tblPr>
        <w:tblStyle w:val="4"/>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276"/>
        <w:gridCol w:w="708"/>
        <w:gridCol w:w="6359"/>
      </w:tblGrid>
      <w:tr w14:paraId="153B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1276" w:type="dxa"/>
            <w:noWrap w:val="0"/>
            <w:vAlign w:val="center"/>
          </w:tcPr>
          <w:p w14:paraId="4AFB9107">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组成部分</w:t>
            </w:r>
          </w:p>
        </w:tc>
        <w:tc>
          <w:tcPr>
            <w:tcW w:w="1276" w:type="dxa"/>
            <w:noWrap w:val="0"/>
            <w:vAlign w:val="center"/>
          </w:tcPr>
          <w:p w14:paraId="0BC16E43">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评审因素</w:t>
            </w:r>
          </w:p>
        </w:tc>
        <w:tc>
          <w:tcPr>
            <w:tcW w:w="708" w:type="dxa"/>
            <w:noWrap w:val="0"/>
            <w:vAlign w:val="center"/>
          </w:tcPr>
          <w:p w14:paraId="549C59EB">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分值</w:t>
            </w:r>
          </w:p>
        </w:tc>
        <w:tc>
          <w:tcPr>
            <w:tcW w:w="6359" w:type="dxa"/>
            <w:noWrap w:val="0"/>
            <w:vAlign w:val="center"/>
          </w:tcPr>
          <w:p w14:paraId="3E01D64E">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评分标准</w:t>
            </w:r>
          </w:p>
        </w:tc>
      </w:tr>
      <w:tr w14:paraId="0ECF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76" w:type="dxa"/>
            <w:vMerge w:val="restart"/>
            <w:noWrap w:val="0"/>
            <w:vAlign w:val="center"/>
          </w:tcPr>
          <w:p w14:paraId="23C0ED02">
            <w:pPr>
              <w:jc w:val="both"/>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商务部分（10分）</w:t>
            </w:r>
          </w:p>
        </w:tc>
        <w:tc>
          <w:tcPr>
            <w:tcW w:w="1276" w:type="dxa"/>
            <w:noWrap w:val="0"/>
            <w:vAlign w:val="center"/>
          </w:tcPr>
          <w:p w14:paraId="6DB8B662">
            <w:pPr>
              <w:jc w:val="center"/>
              <w:rPr>
                <w:rFonts w:ascii="仿宋" w:hAnsi="仿宋" w:eastAsia="仿宋" w:cs="宋体"/>
                <w:color w:val="auto"/>
                <w:sz w:val="21"/>
                <w:szCs w:val="21"/>
                <w:highlight w:val="none"/>
              </w:rPr>
            </w:pPr>
            <w:r>
              <w:rPr>
                <w:rFonts w:hint="eastAsia" w:ascii="仿宋" w:hAnsi="仿宋" w:eastAsia="仿宋" w:cs="宋体"/>
                <w:color w:val="auto"/>
                <w:sz w:val="21"/>
                <w:szCs w:val="21"/>
                <w:highlight w:val="none"/>
                <w:lang w:val="en-US" w:eastAsia="zh-CN"/>
              </w:rPr>
              <w:t>人员资质</w:t>
            </w:r>
          </w:p>
        </w:tc>
        <w:tc>
          <w:tcPr>
            <w:tcW w:w="708" w:type="dxa"/>
            <w:noWrap w:val="0"/>
            <w:vAlign w:val="center"/>
          </w:tcPr>
          <w:p w14:paraId="1929D38A">
            <w:pPr>
              <w:jc w:val="cente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6</w:t>
            </w:r>
          </w:p>
        </w:tc>
        <w:tc>
          <w:tcPr>
            <w:tcW w:w="6359" w:type="dxa"/>
            <w:noWrap w:val="0"/>
            <w:vAlign w:val="center"/>
          </w:tcPr>
          <w:p w14:paraId="4B1CDADD">
            <w:pPr>
              <w:rPr>
                <w:rFonts w:ascii="仿宋" w:hAnsi="仿宋" w:eastAsia="仿宋" w:cs="宋体"/>
                <w:color w:val="auto"/>
                <w:sz w:val="21"/>
                <w:szCs w:val="21"/>
                <w:highlight w:val="none"/>
              </w:rPr>
            </w:pPr>
            <w:r>
              <w:rPr>
                <w:rFonts w:hint="eastAsia" w:ascii="仿宋" w:hAnsi="仿宋" w:eastAsia="仿宋" w:cs="宋体"/>
                <w:color w:val="auto"/>
                <w:sz w:val="21"/>
                <w:szCs w:val="21"/>
                <w:highlight w:val="none"/>
                <w:lang w:val="en-US" w:eastAsia="zh-CN"/>
              </w:rPr>
              <w:t>1、</w:t>
            </w:r>
            <w:r>
              <w:rPr>
                <w:rFonts w:hint="eastAsia" w:ascii="仿宋" w:hAnsi="仿宋" w:eastAsia="仿宋" w:cs="宋体"/>
                <w:color w:val="auto"/>
                <w:sz w:val="21"/>
                <w:szCs w:val="21"/>
                <w:highlight w:val="none"/>
              </w:rPr>
              <w:t>除满足基本要求以外，</w:t>
            </w:r>
            <w:r>
              <w:rPr>
                <w:rFonts w:hint="eastAsia" w:ascii="仿宋" w:hAnsi="仿宋" w:eastAsia="仿宋" w:cs="宋体"/>
                <w:color w:val="auto"/>
                <w:sz w:val="21"/>
                <w:szCs w:val="21"/>
                <w:highlight w:val="none"/>
                <w:lang w:val="en-US" w:eastAsia="zh-CN"/>
              </w:rPr>
              <w:t>项目负责人具有公路工程二级建造师及以上，加6分。</w:t>
            </w:r>
          </w:p>
        </w:tc>
      </w:tr>
      <w:tr w14:paraId="53AF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76" w:type="dxa"/>
            <w:vMerge w:val="continue"/>
            <w:noWrap w:val="0"/>
            <w:vAlign w:val="center"/>
          </w:tcPr>
          <w:p w14:paraId="5491A00F">
            <w:pPr>
              <w:jc w:val="both"/>
              <w:rPr>
                <w:rFonts w:hint="eastAsia" w:ascii="仿宋" w:hAnsi="仿宋" w:eastAsia="仿宋" w:cs="宋体"/>
                <w:color w:val="auto"/>
                <w:sz w:val="21"/>
                <w:szCs w:val="21"/>
                <w:highlight w:val="none"/>
              </w:rPr>
            </w:pPr>
          </w:p>
        </w:tc>
        <w:tc>
          <w:tcPr>
            <w:tcW w:w="1276" w:type="dxa"/>
            <w:noWrap w:val="0"/>
            <w:vAlign w:val="center"/>
          </w:tcPr>
          <w:p w14:paraId="372137AF">
            <w:pPr>
              <w:jc w:val="cente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信用</w:t>
            </w:r>
          </w:p>
        </w:tc>
        <w:tc>
          <w:tcPr>
            <w:tcW w:w="708" w:type="dxa"/>
            <w:noWrap w:val="0"/>
            <w:vAlign w:val="center"/>
          </w:tcPr>
          <w:p w14:paraId="7238F2F6">
            <w:pPr>
              <w:jc w:val="center"/>
              <w:rPr>
                <w:rFonts w:hint="eastAsia"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4</w:t>
            </w:r>
          </w:p>
        </w:tc>
        <w:tc>
          <w:tcPr>
            <w:tcW w:w="6359" w:type="dxa"/>
            <w:noWrap w:val="0"/>
            <w:vAlign w:val="center"/>
          </w:tcPr>
          <w:p w14:paraId="2759E61D">
            <w:pPr>
              <w:rPr>
                <w:rFonts w:ascii="仿宋" w:hAnsi="仿宋" w:eastAsia="仿宋" w:cs="宋体"/>
                <w:color w:val="auto"/>
                <w:sz w:val="21"/>
                <w:szCs w:val="21"/>
                <w:highlight w:val="none"/>
              </w:rPr>
            </w:pPr>
            <w:r>
              <w:rPr>
                <w:rFonts w:hint="eastAsia" w:ascii="仿宋" w:hAnsi="仿宋" w:eastAsia="仿宋" w:cs="宋体"/>
                <w:color w:val="auto"/>
                <w:sz w:val="21"/>
                <w:szCs w:val="21"/>
                <w:highlight w:val="none"/>
              </w:rPr>
              <w:t>除满足基本要求以外，</w:t>
            </w:r>
            <w:r>
              <w:rPr>
                <w:rFonts w:hint="eastAsia" w:ascii="仿宋" w:hAnsi="仿宋" w:eastAsia="仿宋" w:cs="宋体"/>
                <w:color w:val="auto"/>
                <w:sz w:val="21"/>
                <w:szCs w:val="21"/>
                <w:highlight w:val="none"/>
                <w:lang w:val="en-US" w:eastAsia="zh-CN"/>
              </w:rPr>
              <w:t>连续三年纳税等级为A级</w:t>
            </w:r>
            <w:r>
              <w:rPr>
                <w:rFonts w:hint="eastAsia" w:ascii="仿宋" w:hAnsi="仿宋" w:eastAsia="仿宋" w:cs="宋体"/>
                <w:color w:val="auto"/>
                <w:sz w:val="21"/>
                <w:szCs w:val="21"/>
                <w:highlight w:val="none"/>
              </w:rPr>
              <w:t>。加</w:t>
            </w:r>
            <w:r>
              <w:rPr>
                <w:rFonts w:hint="eastAsia" w:ascii="仿宋" w:hAnsi="仿宋" w:eastAsia="仿宋" w:cs="宋体"/>
                <w:color w:val="auto"/>
                <w:sz w:val="21"/>
                <w:szCs w:val="21"/>
                <w:highlight w:val="none"/>
                <w:lang w:val="en-US" w:eastAsia="zh-CN"/>
              </w:rPr>
              <w:t>4</w:t>
            </w:r>
            <w:r>
              <w:rPr>
                <w:rFonts w:hint="eastAsia" w:ascii="仿宋" w:hAnsi="仿宋" w:eastAsia="仿宋" w:cs="宋体"/>
                <w:color w:val="auto"/>
                <w:sz w:val="21"/>
                <w:szCs w:val="21"/>
                <w:highlight w:val="none"/>
              </w:rPr>
              <w:t>分。</w:t>
            </w:r>
          </w:p>
        </w:tc>
      </w:tr>
    </w:tbl>
    <w:p w14:paraId="55C06CCA">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现变更为商务文件评分表（B值）</w:t>
      </w:r>
    </w:p>
    <w:tbl>
      <w:tblPr>
        <w:tblStyle w:val="4"/>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276"/>
        <w:gridCol w:w="708"/>
        <w:gridCol w:w="6359"/>
      </w:tblGrid>
      <w:tr w14:paraId="7F54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1276" w:type="dxa"/>
            <w:noWrap w:val="0"/>
            <w:vAlign w:val="center"/>
          </w:tcPr>
          <w:p w14:paraId="6BF06450">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组成部分</w:t>
            </w:r>
          </w:p>
        </w:tc>
        <w:tc>
          <w:tcPr>
            <w:tcW w:w="1276" w:type="dxa"/>
            <w:noWrap w:val="0"/>
            <w:vAlign w:val="center"/>
          </w:tcPr>
          <w:p w14:paraId="58ADE84C">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评审因素</w:t>
            </w:r>
          </w:p>
        </w:tc>
        <w:tc>
          <w:tcPr>
            <w:tcW w:w="708" w:type="dxa"/>
            <w:noWrap w:val="0"/>
            <w:vAlign w:val="center"/>
          </w:tcPr>
          <w:p w14:paraId="56108F8B">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分值</w:t>
            </w:r>
          </w:p>
        </w:tc>
        <w:tc>
          <w:tcPr>
            <w:tcW w:w="6359" w:type="dxa"/>
            <w:noWrap w:val="0"/>
            <w:vAlign w:val="center"/>
          </w:tcPr>
          <w:p w14:paraId="33FB70BA">
            <w:pPr>
              <w:ind w:left="628" w:leftChars="1" w:hanging="626" w:hangingChars="297"/>
              <w:jc w:val="center"/>
              <w:rPr>
                <w:rFonts w:hint="eastAsia" w:ascii="仿宋" w:hAnsi="仿宋" w:eastAsia="仿宋" w:cs="宋体"/>
                <w:b/>
                <w:color w:val="auto"/>
                <w:sz w:val="21"/>
                <w:szCs w:val="21"/>
                <w:highlight w:val="none"/>
              </w:rPr>
            </w:pPr>
            <w:r>
              <w:rPr>
                <w:rFonts w:hint="eastAsia" w:ascii="仿宋" w:hAnsi="仿宋" w:eastAsia="仿宋" w:cs="宋体"/>
                <w:b/>
                <w:color w:val="auto"/>
                <w:sz w:val="21"/>
                <w:szCs w:val="21"/>
                <w:highlight w:val="none"/>
              </w:rPr>
              <w:t>评分标准</w:t>
            </w:r>
          </w:p>
        </w:tc>
      </w:tr>
      <w:tr w14:paraId="13DA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76" w:type="dxa"/>
            <w:vMerge w:val="restart"/>
            <w:noWrap w:val="0"/>
            <w:vAlign w:val="center"/>
          </w:tcPr>
          <w:p w14:paraId="4A6AC839">
            <w:pPr>
              <w:jc w:val="both"/>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商务部分（10分）</w:t>
            </w:r>
          </w:p>
        </w:tc>
        <w:tc>
          <w:tcPr>
            <w:tcW w:w="1276" w:type="dxa"/>
            <w:noWrap w:val="0"/>
            <w:vAlign w:val="center"/>
          </w:tcPr>
          <w:p w14:paraId="2756EC16">
            <w:pPr>
              <w:jc w:val="center"/>
              <w:rPr>
                <w:rFonts w:ascii="仿宋" w:hAnsi="仿宋" w:eastAsia="仿宋" w:cs="宋体"/>
                <w:color w:val="auto"/>
                <w:sz w:val="21"/>
                <w:szCs w:val="21"/>
                <w:highlight w:val="none"/>
              </w:rPr>
            </w:pPr>
            <w:r>
              <w:rPr>
                <w:rFonts w:hint="eastAsia" w:ascii="仿宋" w:hAnsi="仿宋" w:eastAsia="仿宋" w:cs="宋体"/>
                <w:color w:val="auto"/>
                <w:sz w:val="21"/>
                <w:szCs w:val="21"/>
                <w:highlight w:val="none"/>
                <w:lang w:val="en-US" w:eastAsia="zh-CN"/>
              </w:rPr>
              <w:t>人员资质</w:t>
            </w:r>
          </w:p>
        </w:tc>
        <w:tc>
          <w:tcPr>
            <w:tcW w:w="708" w:type="dxa"/>
            <w:noWrap w:val="0"/>
            <w:vAlign w:val="center"/>
          </w:tcPr>
          <w:p w14:paraId="654BC599">
            <w:pPr>
              <w:jc w:val="cente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6</w:t>
            </w:r>
          </w:p>
        </w:tc>
        <w:tc>
          <w:tcPr>
            <w:tcW w:w="6359" w:type="dxa"/>
            <w:noWrap w:val="0"/>
            <w:vAlign w:val="center"/>
          </w:tcPr>
          <w:p w14:paraId="05D4E6C5">
            <w:pPr>
              <w:numPr>
                <w:ilvl w:val="0"/>
                <w:numId w:val="2"/>
              </w:numPr>
              <w:rPr>
                <w:rFonts w:hint="eastAsia"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rPr>
              <w:t>除满足基本要求以外，</w:t>
            </w:r>
            <w:r>
              <w:rPr>
                <w:rFonts w:hint="eastAsia" w:ascii="仿宋" w:hAnsi="仿宋" w:eastAsia="仿宋" w:cs="宋体"/>
                <w:color w:val="auto"/>
                <w:sz w:val="21"/>
                <w:szCs w:val="21"/>
                <w:highlight w:val="none"/>
                <w:lang w:val="en-US" w:eastAsia="zh-CN"/>
              </w:rPr>
              <w:t>项目负责人具有公路工程二级建造师及以上证书（证书需注册在投标单位中标后验原件），加2分；</w:t>
            </w:r>
          </w:p>
          <w:p w14:paraId="54AAD98B">
            <w:pPr>
              <w:numPr>
                <w:ilvl w:val="0"/>
                <w:numId w:val="2"/>
              </w:numP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rPr>
              <w:t>除满足基本要求以外</w:t>
            </w:r>
            <w:r>
              <w:rPr>
                <w:rFonts w:hint="eastAsia" w:ascii="仿宋" w:hAnsi="仿宋" w:eastAsia="仿宋" w:cs="宋体"/>
                <w:color w:val="auto"/>
                <w:sz w:val="21"/>
                <w:szCs w:val="21"/>
                <w:highlight w:val="none"/>
                <w:lang w:eastAsia="zh-CN"/>
              </w:rPr>
              <w:t>，</w:t>
            </w:r>
            <w:r>
              <w:rPr>
                <w:rFonts w:hint="eastAsia" w:ascii="仿宋" w:hAnsi="仿宋" w:eastAsia="仿宋" w:cs="宋体"/>
                <w:color w:val="auto"/>
                <w:sz w:val="21"/>
                <w:szCs w:val="21"/>
                <w:highlight w:val="none"/>
                <w:lang w:val="en-US" w:eastAsia="zh-CN"/>
              </w:rPr>
              <w:t>能提供项目负责人在投标单位2026年度连续3个月住房公积金缴纳证明（补缴视为无效），加4分。</w:t>
            </w:r>
          </w:p>
        </w:tc>
      </w:tr>
      <w:tr w14:paraId="379F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76" w:type="dxa"/>
            <w:vMerge w:val="continue"/>
            <w:noWrap w:val="0"/>
            <w:vAlign w:val="center"/>
          </w:tcPr>
          <w:p w14:paraId="5E45B272">
            <w:pPr>
              <w:jc w:val="both"/>
              <w:rPr>
                <w:rFonts w:hint="eastAsia" w:ascii="仿宋" w:hAnsi="仿宋" w:eastAsia="仿宋" w:cs="宋体"/>
                <w:color w:val="auto"/>
                <w:sz w:val="21"/>
                <w:szCs w:val="21"/>
                <w:highlight w:val="none"/>
              </w:rPr>
            </w:pPr>
          </w:p>
        </w:tc>
        <w:tc>
          <w:tcPr>
            <w:tcW w:w="1276" w:type="dxa"/>
            <w:noWrap w:val="0"/>
            <w:vAlign w:val="center"/>
          </w:tcPr>
          <w:p w14:paraId="47C2CA5D">
            <w:pPr>
              <w:jc w:val="cente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信用</w:t>
            </w:r>
          </w:p>
        </w:tc>
        <w:tc>
          <w:tcPr>
            <w:tcW w:w="708" w:type="dxa"/>
            <w:noWrap w:val="0"/>
            <w:vAlign w:val="center"/>
          </w:tcPr>
          <w:p w14:paraId="55AABF97">
            <w:pPr>
              <w:jc w:val="center"/>
              <w:rPr>
                <w:rFonts w:hint="eastAsia"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4</w:t>
            </w:r>
          </w:p>
        </w:tc>
        <w:tc>
          <w:tcPr>
            <w:tcW w:w="6359" w:type="dxa"/>
            <w:noWrap w:val="0"/>
            <w:vAlign w:val="center"/>
          </w:tcPr>
          <w:p w14:paraId="550D0271">
            <w:pPr>
              <w:rPr>
                <w:rFonts w:ascii="仿宋" w:hAnsi="仿宋" w:eastAsia="仿宋" w:cs="宋体"/>
                <w:color w:val="auto"/>
                <w:sz w:val="21"/>
                <w:szCs w:val="21"/>
                <w:highlight w:val="none"/>
              </w:rPr>
            </w:pPr>
            <w:r>
              <w:rPr>
                <w:rFonts w:hint="eastAsia" w:ascii="仿宋" w:hAnsi="仿宋" w:eastAsia="仿宋" w:cs="宋体"/>
                <w:color w:val="auto"/>
                <w:sz w:val="21"/>
                <w:szCs w:val="21"/>
                <w:highlight w:val="none"/>
              </w:rPr>
              <w:t>除满足基本要求以外，</w:t>
            </w:r>
            <w:r>
              <w:rPr>
                <w:rFonts w:hint="eastAsia" w:ascii="仿宋" w:hAnsi="仿宋" w:eastAsia="仿宋" w:cs="宋体"/>
                <w:color w:val="auto"/>
                <w:sz w:val="21"/>
                <w:szCs w:val="21"/>
                <w:highlight w:val="none"/>
                <w:lang w:val="en-US" w:eastAsia="zh-CN"/>
              </w:rPr>
              <w:t>连续三年纳税等级为A级，</w:t>
            </w:r>
            <w:r>
              <w:rPr>
                <w:rFonts w:hint="eastAsia" w:ascii="仿宋" w:hAnsi="仿宋" w:eastAsia="仿宋" w:cs="宋体"/>
                <w:color w:val="auto"/>
                <w:sz w:val="21"/>
                <w:szCs w:val="21"/>
                <w:highlight w:val="none"/>
              </w:rPr>
              <w:t>加</w:t>
            </w:r>
            <w:r>
              <w:rPr>
                <w:rFonts w:hint="eastAsia" w:ascii="仿宋" w:hAnsi="仿宋" w:eastAsia="仿宋" w:cs="宋体"/>
                <w:color w:val="auto"/>
                <w:sz w:val="21"/>
                <w:szCs w:val="21"/>
                <w:highlight w:val="none"/>
                <w:lang w:val="en-US" w:eastAsia="zh-CN"/>
              </w:rPr>
              <w:t>4</w:t>
            </w:r>
            <w:r>
              <w:rPr>
                <w:rFonts w:hint="eastAsia" w:ascii="仿宋" w:hAnsi="仿宋" w:eastAsia="仿宋" w:cs="宋体"/>
                <w:color w:val="auto"/>
                <w:sz w:val="21"/>
                <w:szCs w:val="21"/>
                <w:highlight w:val="none"/>
              </w:rPr>
              <w:t>分。</w:t>
            </w:r>
          </w:p>
        </w:tc>
      </w:tr>
    </w:tbl>
    <w:p w14:paraId="0072EC86">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jc w:val="both"/>
        <w:textAlignment w:val="auto"/>
        <w:rPr>
          <w:rFonts w:hint="default" w:ascii="方正仿宋_GB2312" w:hAnsi="方正仿宋_GB2312" w:eastAsia="方正仿宋_GB2312" w:cs="方正仿宋_GB2312"/>
          <w:color w:val="auto"/>
          <w:sz w:val="24"/>
          <w:szCs w:val="24"/>
          <w:highlight w:val="none"/>
          <w:lang w:val="en-US" w:eastAsia="zh-CN"/>
        </w:rPr>
      </w:pPr>
    </w:p>
    <w:p w14:paraId="5303B3E0">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jc w:val="both"/>
        <w:textAlignment w:val="auto"/>
        <w:rPr>
          <w:rFonts w:hint="default" w:ascii="宋体" w:hAnsi="宋体" w:eastAsia="宋体" w:cs="宋体"/>
          <w:sz w:val="24"/>
          <w:szCs w:val="24"/>
          <w:lang w:val="en-US" w:eastAsia="zh-CN"/>
        </w:rPr>
      </w:pPr>
      <w:r>
        <w:rPr>
          <w:rFonts w:hint="eastAsia" w:ascii="方正仿宋_GB2312" w:hAnsi="方正仿宋_GB2312" w:eastAsia="方正仿宋_GB2312" w:cs="方正仿宋_GB2312"/>
          <w:b w:val="0"/>
          <w:bCs w:val="0"/>
          <w:kern w:val="2"/>
          <w:sz w:val="24"/>
          <w:szCs w:val="24"/>
          <w:lang w:val="en-US" w:eastAsia="zh-CN" w:bidi="ar-SA"/>
        </w:rPr>
        <w:t>此通知无需放入投标文件中。</w:t>
      </w:r>
    </w:p>
    <w:p w14:paraId="3D6DDA9D">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right"/>
        <w:textAlignment w:val="auto"/>
        <w:rPr>
          <w:rFonts w:hint="eastAsia" w:ascii="宋体" w:hAnsi="宋体" w:eastAsia="宋体" w:cs="宋体"/>
          <w:sz w:val="24"/>
          <w:szCs w:val="24"/>
          <w:lang w:val="en-US" w:eastAsia="zh-CN"/>
        </w:rPr>
      </w:pPr>
    </w:p>
    <w:p w14:paraId="50BCACF0">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right"/>
        <w:textAlignment w:val="auto"/>
        <w:rPr>
          <w:rFonts w:hint="eastAsia" w:ascii="宋体" w:hAnsi="宋体" w:eastAsia="宋体" w:cs="宋体"/>
          <w:sz w:val="24"/>
          <w:szCs w:val="24"/>
          <w:lang w:val="en-US" w:eastAsia="zh-CN"/>
        </w:rPr>
      </w:pPr>
    </w:p>
    <w:p w14:paraId="3560854F">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right"/>
        <w:textAlignment w:val="auto"/>
        <w:rPr>
          <w:rFonts w:hint="eastAsia" w:ascii="方正仿宋_GB2312" w:hAnsi="方正仿宋_GB2312" w:eastAsia="方正仿宋_GB2312" w:cs="方正仿宋_GB2312"/>
          <w:sz w:val="24"/>
          <w:szCs w:val="24"/>
          <w:lang w:val="en-US" w:eastAsia="zh-CN"/>
        </w:rPr>
      </w:pPr>
      <w:r>
        <w:rPr>
          <w:rFonts w:hint="eastAsia" w:ascii="宋体" w:hAnsi="宋体" w:eastAsia="宋体" w:cs="宋体"/>
          <w:sz w:val="24"/>
          <w:szCs w:val="24"/>
          <w:lang w:val="en-US" w:eastAsia="zh-CN"/>
        </w:rPr>
        <w:t xml:space="preserve"> </w:t>
      </w:r>
      <w:r>
        <w:rPr>
          <w:rFonts w:hint="eastAsia" w:ascii="方正仿宋_GB2312" w:hAnsi="方正仿宋_GB2312" w:eastAsia="方正仿宋_GB2312" w:cs="方正仿宋_GB2312"/>
          <w:sz w:val="24"/>
          <w:szCs w:val="24"/>
          <w:lang w:val="en-US" w:eastAsia="zh-CN"/>
        </w:rPr>
        <w:t xml:space="preserve"> 安徽建工水利招标中心</w:t>
      </w:r>
    </w:p>
    <w:p w14:paraId="21C6876B">
      <w:pPr>
        <w:pStyle w:val="2"/>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 xml:space="preserve">                                                2026年5月25日</w:t>
      </w:r>
    </w:p>
    <w:p w14:paraId="307C9D68">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2598E"/>
    <w:multiLevelType w:val="singleLevel"/>
    <w:tmpl w:val="A752598E"/>
    <w:lvl w:ilvl="0" w:tentative="0">
      <w:start w:val="1"/>
      <w:numFmt w:val="decimal"/>
      <w:suff w:val="nothing"/>
      <w:lvlText w:val="%1、"/>
      <w:lvlJc w:val="left"/>
    </w:lvl>
  </w:abstractNum>
  <w:abstractNum w:abstractNumId="1">
    <w:nsid w:val="2EF8BDA0"/>
    <w:multiLevelType w:val="singleLevel"/>
    <w:tmpl w:val="2EF8BDA0"/>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TNiMWRkZmUxMDBjNGU0OTdmNjRjODM2MzQyZWEwNjMifQ=="/>
  </w:docVars>
  <w:rsids>
    <w:rsidRoot w:val="00000000"/>
    <w:rsid w:val="03863E70"/>
    <w:rsid w:val="04876053"/>
    <w:rsid w:val="170E17B7"/>
    <w:rsid w:val="1AD010B5"/>
    <w:rsid w:val="656C5A8D"/>
    <w:rsid w:val="667F5678"/>
    <w:rsid w:val="72C52E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kern w:val="2"/>
      <w:sz w:val="21"/>
      <w:szCs w:val="24"/>
    </w:rPr>
  </w:style>
  <w:style w:type="paragraph" w:styleId="3">
    <w:name w:val="Body Text"/>
    <w:basedOn w:val="1"/>
    <w:next w:val="1"/>
    <w:semiHidden/>
    <w:qFormat/>
    <w:uiPriority w:val="0"/>
    <w:rPr>
      <w:rFonts w:ascii="宋体" w:hAnsi="宋体" w:eastAsia="宋体" w:cs="宋体"/>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643</Words>
  <Characters>688</Characters>
  <TotalTime>13</TotalTime>
  <ScaleCrop>false</ScaleCrop>
  <LinksUpToDate>false</LinksUpToDate>
  <CharactersWithSpaces>740</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2026-05-07T03:23:00Z</dcterms:created>
  <dc:creator>thinkpad</dc:creator>
  <cp:lastModifiedBy>Administrator</cp:lastModifiedBy>
  <dcterms:modified xsi:type="dcterms:W3CDTF">2026-05-25T02:41:30Z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2026-05-07T11:23:42Z</vt:filetime>
  </property>
  <property fmtid="{D5CDD505-2E9C-101B-9397-08002B2CF9AE}" pid="4" name="KSOTemplateDocerSaveRecord">
    <vt:lpwstr>eyJoZGlkIjoiMTQ3MWVkOTViNTg2MDgxNDBhMGIwYzg0M2VkMTE5NGEiLCJ1c2VySWQiOiIxNTg4OTYyMDA0In0=</vt:lpwstr>
  </property>
  <property fmtid="{D5CDD505-2E9C-101B-9397-08002B2CF9AE}" pid="5" name="KSOProductBuildVer">
    <vt:lpwstr>2052-12.1.0.26375</vt:lpwstr>
  </property>
  <property fmtid="{D5CDD505-2E9C-101B-9397-08002B2CF9AE}" pid="6" name="ICV">
    <vt:lpwstr>76450FCF6CD14BBEB3E8639EDEBC59A6_13</vt:lpwstr>
  </property>
</Properties>
</file>