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spacing w:line="240" w:lineRule="auto"/>
        <w:ind w:left="0" w:leftChars="0" w:firstLine="0" w:firstLineChars="0"/>
        <w:jc w:val="center"/>
        <w:rPr>
          <w:rFonts w:hint="default" w:hAnsiTheme="minorHAnsi" w:eastAsiaTheme="minorEastAsia" w:cstheme="minorBidi"/>
          <w:b/>
          <w:bCs/>
          <w:sz w:val="36"/>
          <w:szCs w:val="36"/>
          <w:lang w:val="en-US" w:eastAsia="zh-CN"/>
        </w:rPr>
      </w:pPr>
      <w:r>
        <w:rPr>
          <w:rFonts w:hint="eastAsia" w:hAnsiTheme="minorHAnsi" w:eastAsiaTheme="minorEastAsia" w:cstheme="minorBidi"/>
          <w:b/>
          <w:bCs/>
          <w:sz w:val="36"/>
          <w:szCs w:val="36"/>
          <w:lang w:val="en-US" w:eastAsia="zh-CN"/>
        </w:rPr>
        <w:t>重庆荣自高速项目梁板预制、运输、安装及桥梁下部、附属工程招标文件工抵房房源信息内容澄清</w:t>
      </w:r>
    </w:p>
    <w:p>
      <w:pPr>
        <w:pStyle w:val="6"/>
        <w:spacing w:line="240" w:lineRule="auto"/>
        <w:ind w:left="0" w:leftChars="0" w:firstLine="0" w:firstLineChars="0"/>
        <w:jc w:val="both"/>
        <w:rPr>
          <w:rFonts w:hint="eastAsia" w:ascii="方正仿宋_GB2312" w:hAnsi="方正仿宋_GB2312" w:eastAsia="方正仿宋_GB2312" w:cs="方正仿宋_GB2312"/>
          <w:sz w:val="24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4"/>
          <w:szCs w:val="32"/>
          <w:lang w:val="en-US" w:eastAsia="zh-CN"/>
        </w:rPr>
        <w:t>各投标人：</w:t>
      </w:r>
    </w:p>
    <w:p>
      <w:pPr>
        <w:rPr>
          <w:rFonts w:hint="eastAsia" w:eastAsia="宋体"/>
          <w:lang w:eastAsia="zh-CN"/>
        </w:rPr>
      </w:pPr>
      <w:r>
        <w:rPr>
          <w:rFonts w:hint="eastAsia" w:ascii="方正仿宋_GB2312" w:hAnsi="方正仿宋_GB2312" w:eastAsia="方正仿宋_GB2312" w:cs="方正仿宋_GB2312"/>
          <w:lang w:val="en-US" w:eastAsia="zh-CN"/>
        </w:rPr>
        <w:t>重庆荣自高速项目梁板预制、运输、安装及桥梁下部、附属工程（招标编号：ACEG-2026031031001001），现就该工程工抵房房源信息内容作出如下修改：</w:t>
      </w:r>
    </w:p>
    <w:p>
      <w:pPr>
        <w:pStyle w:val="6"/>
        <w:numPr>
          <w:ilvl w:val="0"/>
          <w:numId w:val="0"/>
        </w:numPr>
        <w:ind w:firstLine="480" w:firstLineChars="200"/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将原招标文件的投标须知中第23条重要提示：</w:t>
      </w:r>
    </w:p>
    <w:p>
      <w:pPr>
        <w:pStyle w:val="6"/>
        <w:numPr>
          <w:ilvl w:val="0"/>
          <w:numId w:val="0"/>
        </w:numPr>
        <w:ind w:firstLine="3360" w:firstLineChars="1400"/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房源信息如下：</w:t>
      </w:r>
    </w:p>
    <w:tbl>
      <w:tblPr>
        <w:tblStyle w:val="8"/>
        <w:tblW w:w="8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"/>
        <w:gridCol w:w="1179"/>
        <w:gridCol w:w="835"/>
        <w:gridCol w:w="842"/>
        <w:gridCol w:w="835"/>
        <w:gridCol w:w="1123"/>
        <w:gridCol w:w="944"/>
        <w:gridCol w:w="1301"/>
        <w:gridCol w:w="11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00" w:type="dxa"/>
            <w:gridSpan w:val="9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2"/>
                <w:szCs w:val="22"/>
                <w:vertAlign w:val="baseline"/>
                <w:lang w:val="en-US" w:eastAsia="zh-CN"/>
              </w:rPr>
              <w:t>南陵龙胤府抵扣房源明细表（房源地址：芜湖市南陵县格里路南侧、漳河大道东侧）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179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项目</w:t>
            </w:r>
          </w:p>
        </w:tc>
        <w:tc>
          <w:tcPr>
            <w:tcW w:w="835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产品类型</w:t>
            </w:r>
          </w:p>
        </w:tc>
        <w:tc>
          <w:tcPr>
            <w:tcW w:w="842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总楼层数</w:t>
            </w:r>
          </w:p>
        </w:tc>
        <w:tc>
          <w:tcPr>
            <w:tcW w:w="835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楼号</w:t>
            </w:r>
          </w:p>
        </w:tc>
        <w:tc>
          <w:tcPr>
            <w:tcW w:w="1123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房号</w:t>
            </w:r>
          </w:p>
        </w:tc>
        <w:tc>
          <w:tcPr>
            <w:tcW w:w="944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面积</w:t>
            </w:r>
          </w:p>
        </w:tc>
        <w:tc>
          <w:tcPr>
            <w:tcW w:w="2452" w:type="dxa"/>
            <w:gridSpan w:val="2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工抵价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79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5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2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5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23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44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（㎡）</w:t>
            </w:r>
          </w:p>
        </w:tc>
        <w:tc>
          <w:tcPr>
            <w:tcW w:w="130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单价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总价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79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5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42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5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23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944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0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（元/㎡）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1179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南陵龙胤府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高层</w:t>
            </w:r>
          </w:p>
        </w:tc>
        <w:tc>
          <w:tcPr>
            <w:tcW w:w="842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18F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15幢</w:t>
            </w:r>
          </w:p>
        </w:tc>
        <w:tc>
          <w:tcPr>
            <w:tcW w:w="1123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15-2-104</w:t>
            </w:r>
          </w:p>
        </w:tc>
        <w:tc>
          <w:tcPr>
            <w:tcW w:w="944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128.44</w:t>
            </w:r>
          </w:p>
        </w:tc>
        <w:tc>
          <w:tcPr>
            <w:tcW w:w="130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4756.4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610912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1179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南陵龙胤府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叠墅</w:t>
            </w:r>
          </w:p>
        </w:tc>
        <w:tc>
          <w:tcPr>
            <w:tcW w:w="842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5F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8幢</w:t>
            </w:r>
          </w:p>
        </w:tc>
        <w:tc>
          <w:tcPr>
            <w:tcW w:w="1123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8-2-404</w:t>
            </w:r>
          </w:p>
        </w:tc>
        <w:tc>
          <w:tcPr>
            <w:tcW w:w="944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138.98</w:t>
            </w:r>
          </w:p>
        </w:tc>
        <w:tc>
          <w:tcPr>
            <w:tcW w:w="130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8136.01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1130742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3</w:t>
            </w:r>
          </w:p>
        </w:tc>
        <w:tc>
          <w:tcPr>
            <w:tcW w:w="1179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南陵龙胤府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叠墅</w:t>
            </w:r>
          </w:p>
        </w:tc>
        <w:tc>
          <w:tcPr>
            <w:tcW w:w="842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8幢</w:t>
            </w:r>
          </w:p>
        </w:tc>
        <w:tc>
          <w:tcPr>
            <w:tcW w:w="1123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8-2-204</w:t>
            </w:r>
          </w:p>
        </w:tc>
        <w:tc>
          <w:tcPr>
            <w:tcW w:w="944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143.42</w:t>
            </w:r>
          </w:p>
        </w:tc>
        <w:tc>
          <w:tcPr>
            <w:tcW w:w="130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9003.84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1291331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4</w:t>
            </w:r>
          </w:p>
        </w:tc>
        <w:tc>
          <w:tcPr>
            <w:tcW w:w="1179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南陵龙胤府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叠墅</w:t>
            </w:r>
          </w:p>
        </w:tc>
        <w:tc>
          <w:tcPr>
            <w:tcW w:w="842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5F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9幢</w:t>
            </w:r>
          </w:p>
        </w:tc>
        <w:tc>
          <w:tcPr>
            <w:tcW w:w="1123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9-1-401</w:t>
            </w:r>
          </w:p>
        </w:tc>
        <w:tc>
          <w:tcPr>
            <w:tcW w:w="944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138.98</w:t>
            </w:r>
          </w:p>
        </w:tc>
        <w:tc>
          <w:tcPr>
            <w:tcW w:w="130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9003.84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1251353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5</w:t>
            </w:r>
          </w:p>
        </w:tc>
        <w:tc>
          <w:tcPr>
            <w:tcW w:w="1179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南陵龙胤府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叠墅</w:t>
            </w:r>
          </w:p>
        </w:tc>
        <w:tc>
          <w:tcPr>
            <w:tcW w:w="842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5F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21幢</w:t>
            </w:r>
          </w:p>
        </w:tc>
        <w:tc>
          <w:tcPr>
            <w:tcW w:w="1123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21-2-404</w:t>
            </w:r>
          </w:p>
        </w:tc>
        <w:tc>
          <w:tcPr>
            <w:tcW w:w="944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151.12</w:t>
            </w:r>
          </w:p>
        </w:tc>
        <w:tc>
          <w:tcPr>
            <w:tcW w:w="130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10582.7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1599257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6</w:t>
            </w:r>
          </w:p>
        </w:tc>
        <w:tc>
          <w:tcPr>
            <w:tcW w:w="1179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南陵龙胤府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叠墅</w:t>
            </w:r>
          </w:p>
        </w:tc>
        <w:tc>
          <w:tcPr>
            <w:tcW w:w="842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5F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7幢</w:t>
            </w:r>
          </w:p>
        </w:tc>
        <w:tc>
          <w:tcPr>
            <w:tcW w:w="1123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7-2-403</w:t>
            </w:r>
          </w:p>
        </w:tc>
        <w:tc>
          <w:tcPr>
            <w:tcW w:w="944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138.98</w:t>
            </w:r>
          </w:p>
        </w:tc>
        <w:tc>
          <w:tcPr>
            <w:tcW w:w="130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8797.25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1222642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7</w:t>
            </w:r>
          </w:p>
        </w:tc>
        <w:tc>
          <w:tcPr>
            <w:tcW w:w="1179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南陵龙胤府</w:t>
            </w: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叠墅</w:t>
            </w:r>
          </w:p>
        </w:tc>
        <w:tc>
          <w:tcPr>
            <w:tcW w:w="842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3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7幢</w:t>
            </w:r>
          </w:p>
        </w:tc>
        <w:tc>
          <w:tcPr>
            <w:tcW w:w="1123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7-2-404</w:t>
            </w:r>
          </w:p>
        </w:tc>
        <w:tc>
          <w:tcPr>
            <w:tcW w:w="944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138.98</w:t>
            </w:r>
          </w:p>
        </w:tc>
        <w:tc>
          <w:tcPr>
            <w:tcW w:w="130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8797.25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1222642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</w:t>
            </w:r>
          </w:p>
        </w:tc>
        <w:tc>
          <w:tcPr>
            <w:tcW w:w="1179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南陵龙胤府</w:t>
            </w:r>
          </w:p>
        </w:tc>
        <w:tc>
          <w:tcPr>
            <w:tcW w:w="3635" w:type="dxa"/>
            <w:gridSpan w:val="4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地下车位</w:t>
            </w:r>
          </w:p>
        </w:tc>
        <w:tc>
          <w:tcPr>
            <w:tcW w:w="944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7个</w:t>
            </w:r>
          </w:p>
        </w:tc>
        <w:tc>
          <w:tcPr>
            <w:tcW w:w="130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25000元/个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175000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549" w:type="dxa"/>
            <w:gridSpan w:val="8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合计</w:t>
            </w:r>
          </w:p>
        </w:tc>
        <w:tc>
          <w:tcPr>
            <w:tcW w:w="115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8503879</w:t>
            </w:r>
          </w:p>
        </w:tc>
      </w:tr>
    </w:tbl>
    <w:p>
      <w:pPr>
        <w:pStyle w:val="6"/>
        <w:numPr>
          <w:ilvl w:val="0"/>
          <w:numId w:val="0"/>
        </w:numPr>
        <w:ind w:firstLine="480" w:firstLineChars="200"/>
        <w:rPr>
          <w:rFonts w:hint="default" w:ascii="方正仿宋_GB2312" w:hAnsi="方正仿宋_GB2312" w:eastAsia="方正仿宋_GB2312" w:cs="方正仿宋_GB2312"/>
          <w:sz w:val="24"/>
          <w:szCs w:val="24"/>
          <w:lang w:val="en-US" w:eastAsia="zh-CN"/>
        </w:rPr>
      </w:pPr>
    </w:p>
    <w:p>
      <w:pPr>
        <w:pStyle w:val="6"/>
        <w:numPr>
          <w:ilvl w:val="0"/>
          <w:numId w:val="0"/>
        </w:numPr>
        <w:ind w:firstLine="480" w:firstLineChars="200"/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</w:pPr>
    </w:p>
    <w:p>
      <w:pPr>
        <w:pStyle w:val="6"/>
        <w:numPr>
          <w:ilvl w:val="0"/>
          <w:numId w:val="0"/>
        </w:numPr>
        <w:rPr>
          <w:rFonts w:hint="default" w:ascii="方正仿宋_GB2312" w:hAnsi="方正仿宋_GB2312" w:eastAsia="方正仿宋_GB2312" w:cs="方正仿宋_GB2312"/>
          <w:sz w:val="24"/>
          <w:szCs w:val="24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修改为：</w:t>
      </w:r>
    </w:p>
    <w:p>
      <w:pPr>
        <w:pStyle w:val="6"/>
        <w:numPr>
          <w:ilvl w:val="0"/>
          <w:numId w:val="0"/>
        </w:numPr>
        <w:ind w:firstLine="3360" w:firstLineChars="1400"/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房源信息如下：</w:t>
      </w:r>
    </w:p>
    <w:tbl>
      <w:tblPr>
        <w:tblStyle w:val="8"/>
        <w:tblW w:w="83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"/>
        <w:gridCol w:w="1110"/>
        <w:gridCol w:w="790"/>
        <w:gridCol w:w="791"/>
        <w:gridCol w:w="1446"/>
        <w:gridCol w:w="1131"/>
        <w:gridCol w:w="1316"/>
        <w:gridCol w:w="12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9" w:type="dxa"/>
            <w:gridSpan w:val="8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蚌埠天宸揽境抵扣房源明细表（房源地址：蚌埠市解放路与燕山路交汇处）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110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项目</w:t>
            </w:r>
          </w:p>
        </w:tc>
        <w:tc>
          <w:tcPr>
            <w:tcW w:w="790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产品类型</w:t>
            </w:r>
          </w:p>
        </w:tc>
        <w:tc>
          <w:tcPr>
            <w:tcW w:w="791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楼号</w:t>
            </w:r>
          </w:p>
        </w:tc>
        <w:tc>
          <w:tcPr>
            <w:tcW w:w="1446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房号</w:t>
            </w:r>
          </w:p>
        </w:tc>
        <w:tc>
          <w:tcPr>
            <w:tcW w:w="113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面积</w:t>
            </w:r>
          </w:p>
        </w:tc>
        <w:tc>
          <w:tcPr>
            <w:tcW w:w="2561" w:type="dxa"/>
            <w:gridSpan w:val="2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工抵价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10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0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1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46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31" w:type="dxa"/>
            <w:vMerge w:val="restart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（㎡）</w:t>
            </w:r>
          </w:p>
        </w:tc>
        <w:tc>
          <w:tcPr>
            <w:tcW w:w="131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单价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总价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10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0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1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46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131" w:type="dxa"/>
            <w:vMerge w:val="continue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1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（元/㎡）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111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蚌埠天宸揽境</w:t>
            </w:r>
          </w:p>
        </w:tc>
        <w:tc>
          <w:tcPr>
            <w:tcW w:w="7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洋房</w:t>
            </w:r>
          </w:p>
        </w:tc>
        <w:tc>
          <w:tcPr>
            <w:tcW w:w="79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24幢</w:t>
            </w:r>
          </w:p>
        </w:tc>
        <w:tc>
          <w:tcPr>
            <w:tcW w:w="144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24-2-901</w:t>
            </w:r>
          </w:p>
        </w:tc>
        <w:tc>
          <w:tcPr>
            <w:tcW w:w="113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124.67</w:t>
            </w:r>
          </w:p>
        </w:tc>
        <w:tc>
          <w:tcPr>
            <w:tcW w:w="131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10932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1362892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111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蚌埠天宸揽境</w:t>
            </w:r>
          </w:p>
        </w:tc>
        <w:tc>
          <w:tcPr>
            <w:tcW w:w="7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高层</w:t>
            </w:r>
          </w:p>
        </w:tc>
        <w:tc>
          <w:tcPr>
            <w:tcW w:w="79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29幢</w:t>
            </w:r>
          </w:p>
        </w:tc>
        <w:tc>
          <w:tcPr>
            <w:tcW w:w="144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29-1-501</w:t>
            </w:r>
          </w:p>
        </w:tc>
        <w:tc>
          <w:tcPr>
            <w:tcW w:w="113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120.86</w:t>
            </w:r>
          </w:p>
        </w:tc>
        <w:tc>
          <w:tcPr>
            <w:tcW w:w="131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8818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1065743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3</w:t>
            </w:r>
          </w:p>
        </w:tc>
        <w:tc>
          <w:tcPr>
            <w:tcW w:w="111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蚌埠天宸揽境</w:t>
            </w:r>
          </w:p>
        </w:tc>
        <w:tc>
          <w:tcPr>
            <w:tcW w:w="7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高层</w:t>
            </w:r>
          </w:p>
        </w:tc>
        <w:tc>
          <w:tcPr>
            <w:tcW w:w="79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29幢</w:t>
            </w:r>
          </w:p>
        </w:tc>
        <w:tc>
          <w:tcPr>
            <w:tcW w:w="144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29-1-901</w:t>
            </w:r>
          </w:p>
        </w:tc>
        <w:tc>
          <w:tcPr>
            <w:tcW w:w="113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120.86</w:t>
            </w:r>
          </w:p>
        </w:tc>
        <w:tc>
          <w:tcPr>
            <w:tcW w:w="131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8888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1074204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4</w:t>
            </w:r>
          </w:p>
        </w:tc>
        <w:tc>
          <w:tcPr>
            <w:tcW w:w="111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蚌埠天宸揽境</w:t>
            </w:r>
          </w:p>
        </w:tc>
        <w:tc>
          <w:tcPr>
            <w:tcW w:w="7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高层</w:t>
            </w:r>
          </w:p>
        </w:tc>
        <w:tc>
          <w:tcPr>
            <w:tcW w:w="79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29幢</w:t>
            </w:r>
          </w:p>
        </w:tc>
        <w:tc>
          <w:tcPr>
            <w:tcW w:w="144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29-1-1601</w:t>
            </w:r>
          </w:p>
        </w:tc>
        <w:tc>
          <w:tcPr>
            <w:tcW w:w="113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120.86</w:t>
            </w:r>
          </w:p>
        </w:tc>
        <w:tc>
          <w:tcPr>
            <w:tcW w:w="131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8948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1081455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5</w:t>
            </w:r>
          </w:p>
        </w:tc>
        <w:tc>
          <w:tcPr>
            <w:tcW w:w="111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蚌埠天宸揽境</w:t>
            </w:r>
          </w:p>
        </w:tc>
        <w:tc>
          <w:tcPr>
            <w:tcW w:w="7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高层</w:t>
            </w:r>
          </w:p>
        </w:tc>
        <w:tc>
          <w:tcPr>
            <w:tcW w:w="79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29幢</w:t>
            </w:r>
          </w:p>
        </w:tc>
        <w:tc>
          <w:tcPr>
            <w:tcW w:w="144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29-1-1701</w:t>
            </w:r>
          </w:p>
        </w:tc>
        <w:tc>
          <w:tcPr>
            <w:tcW w:w="113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120.86</w:t>
            </w:r>
          </w:p>
        </w:tc>
        <w:tc>
          <w:tcPr>
            <w:tcW w:w="131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8918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1077829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6</w:t>
            </w:r>
          </w:p>
        </w:tc>
        <w:tc>
          <w:tcPr>
            <w:tcW w:w="111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蚌埠天宸揽境</w:t>
            </w:r>
          </w:p>
        </w:tc>
        <w:tc>
          <w:tcPr>
            <w:tcW w:w="7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高层</w:t>
            </w:r>
          </w:p>
        </w:tc>
        <w:tc>
          <w:tcPr>
            <w:tcW w:w="79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29幢</w:t>
            </w:r>
          </w:p>
        </w:tc>
        <w:tc>
          <w:tcPr>
            <w:tcW w:w="144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29-1-1702</w:t>
            </w:r>
          </w:p>
        </w:tc>
        <w:tc>
          <w:tcPr>
            <w:tcW w:w="113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109.77</w:t>
            </w:r>
          </w:p>
        </w:tc>
        <w:tc>
          <w:tcPr>
            <w:tcW w:w="131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8668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951486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7</w:t>
            </w:r>
          </w:p>
        </w:tc>
        <w:tc>
          <w:tcPr>
            <w:tcW w:w="111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蚌埠天宸揽境</w:t>
            </w:r>
          </w:p>
        </w:tc>
        <w:tc>
          <w:tcPr>
            <w:tcW w:w="7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高层</w:t>
            </w:r>
          </w:p>
        </w:tc>
        <w:tc>
          <w:tcPr>
            <w:tcW w:w="79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29幢</w:t>
            </w:r>
          </w:p>
        </w:tc>
        <w:tc>
          <w:tcPr>
            <w:tcW w:w="144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29-1-704</w:t>
            </w:r>
          </w:p>
        </w:tc>
        <w:tc>
          <w:tcPr>
            <w:tcW w:w="113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120.86</w:t>
            </w:r>
          </w:p>
        </w:tc>
        <w:tc>
          <w:tcPr>
            <w:tcW w:w="131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8768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1059700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</w:t>
            </w:r>
          </w:p>
        </w:tc>
        <w:tc>
          <w:tcPr>
            <w:tcW w:w="111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蚌埠天宸揽境</w:t>
            </w:r>
          </w:p>
        </w:tc>
        <w:tc>
          <w:tcPr>
            <w:tcW w:w="790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高层</w:t>
            </w:r>
          </w:p>
        </w:tc>
        <w:tc>
          <w:tcPr>
            <w:tcW w:w="79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29幢</w:t>
            </w:r>
          </w:p>
        </w:tc>
        <w:tc>
          <w:tcPr>
            <w:tcW w:w="144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29-1-1204</w:t>
            </w:r>
          </w:p>
        </w:tc>
        <w:tc>
          <w:tcPr>
            <w:tcW w:w="1131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120.86</w:t>
            </w:r>
          </w:p>
        </w:tc>
        <w:tc>
          <w:tcPr>
            <w:tcW w:w="1316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8818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1065743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74" w:type="dxa"/>
            <w:gridSpan w:val="7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default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合计</w:t>
            </w:r>
          </w:p>
        </w:tc>
        <w:tc>
          <w:tcPr>
            <w:tcW w:w="1245" w:type="dxa"/>
            <w:vAlign w:val="center"/>
          </w:tcPr>
          <w:p>
            <w:pPr>
              <w:pStyle w:val="6"/>
              <w:numPr>
                <w:ilvl w:val="0"/>
                <w:numId w:val="0"/>
              </w:numPr>
              <w:jc w:val="center"/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1"/>
                <w:szCs w:val="21"/>
                <w:vertAlign w:val="baseline"/>
                <w:lang w:val="en-US" w:eastAsia="zh-CN"/>
              </w:rPr>
              <w:t>8739052</w:t>
            </w:r>
          </w:p>
        </w:tc>
      </w:tr>
    </w:tbl>
    <w:p>
      <w:pPr>
        <w:pStyle w:val="6"/>
        <w:numPr>
          <w:ilvl w:val="0"/>
          <w:numId w:val="0"/>
        </w:numP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</w:pPr>
    </w:p>
    <w:p>
      <w:pPr>
        <w:pStyle w:val="6"/>
        <w:numPr>
          <w:ilvl w:val="0"/>
          <w:numId w:val="0"/>
        </w:numPr>
        <w:ind w:firstLine="480" w:firstLineChars="200"/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招标文件其余内容均保持不变，本说明需放入投标文件，请各投标人按本说明实际响应。</w:t>
      </w:r>
    </w:p>
    <w:p>
      <w:pPr>
        <w:pStyle w:val="6"/>
        <w:numPr>
          <w:ilvl w:val="0"/>
          <w:numId w:val="0"/>
        </w:numPr>
        <w:ind w:firstLine="480" w:firstLineChars="200"/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</w:pPr>
    </w:p>
    <w:p>
      <w:pPr>
        <w:pStyle w:val="6"/>
        <w:numPr>
          <w:ilvl w:val="0"/>
          <w:numId w:val="0"/>
        </w:numPr>
        <w:ind w:firstLine="6240" w:firstLineChars="2600"/>
        <w:rPr>
          <w:rFonts w:hint="default" w:ascii="方正仿宋_GB2312" w:hAnsi="方正仿宋_GB2312" w:eastAsia="方正仿宋_GB2312" w:cs="方正仿宋_GB2312"/>
          <w:sz w:val="24"/>
          <w:szCs w:val="24"/>
          <w:lang w:val="en-US" w:eastAsia="zh-CN"/>
        </w:rPr>
      </w:pP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安徽建工招标中心</w:t>
      </w:r>
    </w:p>
    <w:p>
      <w:pPr>
        <w:pStyle w:val="6"/>
        <w:numPr>
          <w:ilvl w:val="0"/>
          <w:numId w:val="0"/>
        </w:numPr>
        <w:ind w:firstLine="6480" w:firstLineChars="2700"/>
        <w:rPr>
          <w:rFonts w:hint="default" w:ascii="方正仿宋_GB2312" w:hAnsi="方正仿宋_GB2312" w:eastAsia="方正仿宋_GB2312" w:cs="方正仿宋_GB2312"/>
          <w:sz w:val="24"/>
          <w:szCs w:val="24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24"/>
          <w:szCs w:val="24"/>
          <w:lang w:val="en-US" w:eastAsia="zh-CN"/>
        </w:rPr>
        <w:t>2026年4月7日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411ECC95-9630-47BA-BFF1-54EF191BC84A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80"/>
      </w:pPr>
      <w:r>
        <w:separator/>
      </w:r>
    </w:p>
  </w:footnote>
  <w:footnote w:type="continuationSeparator" w:id="1">
    <w:p>
      <w:pPr>
        <w:spacing w:line="24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54E8960"/>
    <w:multiLevelType w:val="singleLevel"/>
    <w:tmpl w:val="454E8960"/>
    <w:lvl w:ilvl="0" w:tentative="0">
      <w:start w:val="1"/>
      <w:numFmt w:val="bullet"/>
      <w:pStyle w:val="2"/>
      <w:lvlText w:val=""/>
      <w:lvlJc w:val="left"/>
      <w:pPr>
        <w:tabs>
          <w:tab w:val="left" w:pos="360"/>
        </w:tabs>
        <w:ind w:left="36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4ZjkwMWYxYmFlNWExMDU5NzhiZGI4N2Y5NDUwNzEifQ=="/>
  </w:docVars>
  <w:rsids>
    <w:rsidRoot w:val="3F6909D2"/>
    <w:rsid w:val="011B384C"/>
    <w:rsid w:val="08637836"/>
    <w:rsid w:val="0B5C0544"/>
    <w:rsid w:val="0CD834F0"/>
    <w:rsid w:val="0F422C00"/>
    <w:rsid w:val="11F14325"/>
    <w:rsid w:val="13752E8B"/>
    <w:rsid w:val="14131A5C"/>
    <w:rsid w:val="149128A9"/>
    <w:rsid w:val="15D27807"/>
    <w:rsid w:val="17F97792"/>
    <w:rsid w:val="1A4A744A"/>
    <w:rsid w:val="1D266050"/>
    <w:rsid w:val="2F801FD5"/>
    <w:rsid w:val="2F8F6685"/>
    <w:rsid w:val="327A17CB"/>
    <w:rsid w:val="330114B3"/>
    <w:rsid w:val="331D36BE"/>
    <w:rsid w:val="34E37BC9"/>
    <w:rsid w:val="378213D5"/>
    <w:rsid w:val="3C613810"/>
    <w:rsid w:val="3C7417F1"/>
    <w:rsid w:val="3F6909D2"/>
    <w:rsid w:val="445855F8"/>
    <w:rsid w:val="44D85BD0"/>
    <w:rsid w:val="4961349F"/>
    <w:rsid w:val="4993098E"/>
    <w:rsid w:val="52F76645"/>
    <w:rsid w:val="5ADD57AB"/>
    <w:rsid w:val="6ACA088B"/>
    <w:rsid w:val="6C451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qFormat="1"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440" w:lineRule="exact"/>
      <w:ind w:firstLine="480" w:firstLineChars="200"/>
      <w:jc w:val="both"/>
    </w:pPr>
    <w:rPr>
      <w:rFonts w:ascii="Calibri" w:hAnsi="Calibri" w:eastAsia="宋体" w:cs="Times New Roman"/>
      <w:kern w:val="0"/>
      <w:sz w:val="24"/>
      <w:szCs w:val="24"/>
      <w:lang w:val="en-US" w:eastAsia="zh-CN" w:bidi="ar-SA"/>
    </w:rPr>
  </w:style>
  <w:style w:type="paragraph" w:styleId="3">
    <w:name w:val="heading 1"/>
    <w:basedOn w:val="1"/>
    <w:next w:val="1"/>
    <w:link w:val="12"/>
    <w:qFormat/>
    <w:uiPriority w:val="0"/>
    <w:pPr>
      <w:keepNext/>
      <w:keepLines/>
      <w:spacing w:before="10" w:beforeLines="0" w:beforeAutospacing="0" w:after="10" w:afterLines="0" w:afterAutospacing="0" w:line="240" w:lineRule="auto"/>
      <w:ind w:firstLine="0" w:firstLineChars="0"/>
      <w:outlineLvl w:val="0"/>
    </w:pPr>
    <w:rPr>
      <w:rFonts w:eastAsia="黑体"/>
      <w:kern w:val="44"/>
      <w:sz w:val="32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 w:val="0"/>
      <w:widowControl/>
      <w:suppressLineNumbers w:val="0"/>
      <w:spacing w:before="10" w:beforeAutospacing="0" w:after="10" w:afterAutospacing="0" w:line="240" w:lineRule="auto"/>
      <w:ind w:left="0" w:right="0" w:firstLine="0" w:firstLineChars="0"/>
      <w:jc w:val="left"/>
      <w:outlineLvl w:val="1"/>
    </w:pPr>
    <w:rPr>
      <w:rFonts w:ascii="Calibri Light" w:hAnsi="Calibri Light" w:eastAsia="黑体"/>
      <w:bCs/>
      <w:iCs/>
      <w:sz w:val="30"/>
      <w:szCs w:val="28"/>
      <w:lang w:bidi="ar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spacing w:before="10" w:beforeLines="0" w:beforeAutospacing="0" w:after="10" w:afterLines="0" w:afterAutospacing="0" w:line="240" w:lineRule="auto"/>
      <w:ind w:firstLine="0" w:firstLineChars="0"/>
      <w:outlineLvl w:val="2"/>
    </w:pPr>
    <w:rPr>
      <w:rFonts w:eastAsia="黑体"/>
      <w:sz w:val="28"/>
    </w:rPr>
  </w:style>
  <w:style w:type="character" w:default="1" w:styleId="9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Bullet"/>
    <w:basedOn w:val="1"/>
    <w:qFormat/>
    <w:uiPriority w:val="0"/>
    <w:pPr>
      <w:numPr>
        <w:ilvl w:val="0"/>
        <w:numId w:val="1"/>
      </w:numPr>
    </w:pPr>
  </w:style>
  <w:style w:type="paragraph" w:styleId="6">
    <w:name w:val="Normal Indent"/>
    <w:basedOn w:val="1"/>
    <w:qFormat/>
    <w:uiPriority w:val="0"/>
    <w:pPr>
      <w:ind w:firstLine="420" w:firstLineChars="200"/>
    </w:pPr>
    <w:rPr>
      <w:rFonts w:ascii="Times New Roman"/>
      <w:kern w:val="2"/>
      <w:sz w:val="21"/>
      <w:szCs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正文1"/>
    <w:basedOn w:val="1"/>
    <w:link w:val="11"/>
    <w:qFormat/>
    <w:uiPriority w:val="0"/>
    <w:pPr>
      <w:keepNext w:val="0"/>
      <w:keepLines w:val="0"/>
      <w:widowControl/>
      <w:suppressLineNumbers w:val="0"/>
      <w:tabs>
        <w:tab w:val="left" w:pos="377"/>
      </w:tabs>
      <w:spacing w:before="0" w:beforeAutospacing="0" w:afterAutospacing="0" w:line="440" w:lineRule="exact"/>
      <w:ind w:left="420" w:leftChars="200" w:right="0" w:firstLine="420" w:firstLineChars="200"/>
      <w:jc w:val="both"/>
    </w:pPr>
    <w:rPr>
      <w:lang w:bidi="ar"/>
    </w:rPr>
  </w:style>
  <w:style w:type="character" w:customStyle="1" w:styleId="11">
    <w:name w:val="正文1 Char"/>
    <w:link w:val="10"/>
    <w:qFormat/>
    <w:uiPriority w:val="0"/>
    <w:rPr>
      <w:rFonts w:eastAsia="宋体"/>
      <w:kern w:val="0"/>
      <w:sz w:val="24"/>
      <w:lang w:bidi="ar"/>
    </w:rPr>
  </w:style>
  <w:style w:type="character" w:customStyle="1" w:styleId="12">
    <w:name w:val="标题 1 字符"/>
    <w:basedOn w:val="9"/>
    <w:link w:val="3"/>
    <w:qFormat/>
    <w:uiPriority w:val="0"/>
    <w:rPr>
      <w:rFonts w:hint="default" w:ascii="Times New Roman" w:hAnsi="Times New Roman" w:eastAsia="黑体" w:cs="Times New Roman"/>
      <w:bCs/>
      <w:kern w:val="32"/>
      <w:sz w:val="32"/>
      <w:szCs w:val="32"/>
    </w:rPr>
  </w:style>
  <w:style w:type="paragraph" w:customStyle="1" w:styleId="13">
    <w:name w:val="标题二"/>
    <w:basedOn w:val="1"/>
    <w:link w:val="14"/>
    <w:qFormat/>
    <w:uiPriority w:val="0"/>
    <w:pPr>
      <w:tabs>
        <w:tab w:val="left" w:pos="377"/>
      </w:tabs>
      <w:spacing w:before="10" w:beforeLines="0" w:after="10" w:afterLines="0" w:line="240" w:lineRule="auto"/>
      <w:ind w:firstLine="0" w:firstLineChars="0"/>
      <w:jc w:val="left"/>
    </w:pPr>
    <w:rPr>
      <w:rFonts w:hint="eastAsia" w:ascii="黑体" w:hAnsi="黑体" w:eastAsia="黑体"/>
      <w:bCs/>
      <w:iCs/>
      <w:sz w:val="30"/>
      <w:szCs w:val="20"/>
      <w:lang w:bidi="ar"/>
    </w:rPr>
  </w:style>
  <w:style w:type="character" w:customStyle="1" w:styleId="14">
    <w:name w:val="标题二 Char"/>
    <w:link w:val="13"/>
    <w:qFormat/>
    <w:uiPriority w:val="0"/>
    <w:rPr>
      <w:rFonts w:hint="eastAsia" w:ascii="黑体" w:hAnsi="黑体" w:eastAsia="黑体"/>
      <w:bCs/>
      <w:iCs/>
      <w:sz w:val="30"/>
      <w:szCs w:val="20"/>
      <w:lang w:bidi="ar"/>
    </w:rPr>
  </w:style>
  <w:style w:type="paragraph" w:customStyle="1" w:styleId="15">
    <w:name w:val="标题三"/>
    <w:basedOn w:val="1"/>
    <w:qFormat/>
    <w:uiPriority w:val="0"/>
    <w:pPr>
      <w:tabs>
        <w:tab w:val="left" w:pos="377"/>
      </w:tabs>
      <w:spacing w:before="10" w:after="10" w:line="240" w:lineRule="auto"/>
      <w:jc w:val="left"/>
      <w:outlineLvl w:val="1"/>
    </w:pPr>
    <w:rPr>
      <w:rFonts w:hint="eastAsia" w:ascii="黑体" w:hAnsi="黑体" w:eastAsia="黑体"/>
      <w:bCs/>
      <w:iCs/>
      <w:kern w:val="0"/>
      <w:sz w:val="28"/>
      <w:szCs w:val="20"/>
      <w:lang w:bidi="ar"/>
    </w:rPr>
  </w:style>
  <w:style w:type="paragraph" w:customStyle="1" w:styleId="16">
    <w:name w:val="表头"/>
    <w:basedOn w:val="1"/>
    <w:link w:val="18"/>
    <w:qFormat/>
    <w:uiPriority w:val="0"/>
    <w:pPr>
      <w:widowControl/>
      <w:tabs>
        <w:tab w:val="left" w:pos="377"/>
      </w:tabs>
      <w:spacing w:before="50" w:beforeLines="50" w:beforeAutospacing="0" w:afterAutospacing="0" w:line="440" w:lineRule="exact"/>
      <w:ind w:firstLine="0" w:firstLineChars="0"/>
      <w:jc w:val="center"/>
    </w:pPr>
    <w:rPr>
      <w:rFonts w:hint="eastAsia"/>
      <w:b/>
      <w:sz w:val="21"/>
      <w:lang w:bidi="ar"/>
    </w:rPr>
  </w:style>
  <w:style w:type="paragraph" w:customStyle="1" w:styleId="17">
    <w:name w:val="样式1"/>
    <w:basedOn w:val="1"/>
    <w:qFormat/>
    <w:uiPriority w:val="0"/>
    <w:pPr>
      <w:widowControl/>
      <w:tabs>
        <w:tab w:val="left" w:pos="377"/>
        <w:tab w:val="left" w:pos="2896"/>
      </w:tabs>
      <w:spacing w:line="240" w:lineRule="auto"/>
      <w:ind w:firstLine="0" w:firstLineChars="0"/>
    </w:pPr>
    <w:rPr>
      <w:rFonts w:hint="eastAsia" w:ascii="宋体" w:hAnsi="宋体" w:cs="宋体"/>
      <w:sz w:val="24"/>
      <w:lang w:bidi="ar"/>
    </w:rPr>
  </w:style>
  <w:style w:type="character" w:customStyle="1" w:styleId="18">
    <w:name w:val="表头 Char"/>
    <w:link w:val="16"/>
    <w:qFormat/>
    <w:uiPriority w:val="0"/>
    <w:rPr>
      <w:rFonts w:hint="eastAsia" w:eastAsia="宋体"/>
      <w:b/>
      <w:sz w:val="21"/>
      <w:lang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583</Words>
  <Characters>977</Characters>
  <Lines>0</Lines>
  <Paragraphs>0</Paragraphs>
  <TotalTime>17</TotalTime>
  <ScaleCrop>false</ScaleCrop>
  <LinksUpToDate>false</LinksUpToDate>
  <CharactersWithSpaces>977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2026-01-21T01:32:00Z</dcterms:created>
  <dc:creator>ZM</dc:creator>
  <cp:lastModifiedBy>WIN-dell</cp:lastModifiedBy>
  <cp:lastPrinted>2026-04-02T01:08:00Z</cp:lastPrinted>
  <dcterms:modified xsi:type="dcterms:W3CDTF">2026-04-07T01:32:54Z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E874A3EB073C468FBC77394C841731AD_13</vt:lpwstr>
  </property>
  <property fmtid="{D5CDD505-2E9C-101B-9397-08002B2CF9AE}" pid="4" name="KSOTemplateDocerSaveRecord">
    <vt:lpwstr>eyJoZGlkIjoiM2JkMTNiNTkwZDljMTA4OTU3Y2ViMmUwM2ExZDEyYzAiLCJ1c2VySWQiOiIxNTIyNDg0NiJ9</vt:lpwstr>
  </property>
</Properties>
</file>