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39EF78">
      <w:pPr>
        <w:keepNext w:val="0"/>
        <w:keepLines w:val="0"/>
        <w:pageBreakBefore w:val="0"/>
        <w:widowControl w:val="0"/>
        <w:numPr>
          <w:ilvl w:val="0"/>
          <w:numId w:val="0"/>
        </w:numPr>
        <w:kinsoku/>
        <w:wordWrap/>
        <w:overflowPunct/>
        <w:topLinePunct w:val="0"/>
        <w:autoSpaceDE/>
        <w:autoSpaceDN/>
        <w:bidi w:val="0"/>
        <w:spacing w:line="240" w:lineRule="auto"/>
        <w:jc w:val="center"/>
        <w:textAlignment w:val="auto"/>
        <w:rPr>
          <w:rFonts w:hint="eastAsia" w:hAnsi="宋体" w:cs="宋体"/>
          <w:b/>
          <w:bCs/>
          <w:color w:val="auto"/>
          <w:kern w:val="2"/>
          <w:sz w:val="36"/>
          <w:szCs w:val="36"/>
          <w:lang w:val="en-US" w:eastAsia="zh-CN" w:bidi="ar"/>
        </w:rPr>
      </w:pPr>
      <w:r>
        <w:rPr>
          <w:rFonts w:hint="eastAsia" w:hAnsi="宋体" w:cs="宋体"/>
          <w:b/>
          <w:bCs/>
          <w:color w:val="auto"/>
          <w:kern w:val="2"/>
          <w:sz w:val="36"/>
          <w:szCs w:val="36"/>
          <w:lang w:val="en-US" w:eastAsia="zh-CN" w:bidi="ar"/>
        </w:rPr>
        <w:t>工作内容及技术要求澄清</w:t>
      </w:r>
    </w:p>
    <w:p w14:paraId="0A5334D0">
      <w:pPr>
        <w:keepNext w:val="0"/>
        <w:keepLines w:val="0"/>
        <w:pageBreakBefore w:val="0"/>
        <w:widowControl w:val="0"/>
        <w:numPr>
          <w:ilvl w:val="0"/>
          <w:numId w:val="0"/>
        </w:numPr>
        <w:kinsoku/>
        <w:wordWrap/>
        <w:overflowPunct/>
        <w:topLinePunct w:val="0"/>
        <w:autoSpaceDE/>
        <w:autoSpaceDN/>
        <w:bidi w:val="0"/>
        <w:spacing w:line="240" w:lineRule="auto"/>
        <w:jc w:val="both"/>
        <w:textAlignment w:val="auto"/>
        <w:rPr>
          <w:rFonts w:hint="eastAsia" w:hAnsi="宋体" w:cs="宋体"/>
          <w:b/>
          <w:bCs/>
          <w:color w:val="auto"/>
          <w:kern w:val="2"/>
          <w:sz w:val="28"/>
          <w:szCs w:val="28"/>
          <w:lang w:bidi="ar"/>
        </w:rPr>
      </w:pPr>
      <w:r>
        <w:rPr>
          <w:rFonts w:hint="eastAsia" w:hAnsi="宋体" w:cs="宋体"/>
          <w:b/>
          <w:bCs/>
          <w:color w:val="auto"/>
          <w:kern w:val="2"/>
          <w:sz w:val="28"/>
          <w:szCs w:val="28"/>
          <w:lang w:val="en-US" w:eastAsia="zh-CN" w:bidi="ar"/>
        </w:rPr>
        <w:t>一、瓦工</w:t>
      </w:r>
      <w:r>
        <w:rPr>
          <w:rFonts w:hint="eastAsia" w:hAnsi="宋体" w:cs="宋体"/>
          <w:b/>
          <w:bCs/>
          <w:color w:val="auto"/>
          <w:kern w:val="2"/>
          <w:sz w:val="28"/>
          <w:szCs w:val="28"/>
          <w:lang w:bidi="ar"/>
        </w:rPr>
        <w:t>工作内容及技术要求：</w:t>
      </w:r>
    </w:p>
    <w:p w14:paraId="351DC463">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瓦工劳务（所有工作均包含在投标</w:t>
      </w:r>
      <w:r>
        <w:rPr>
          <w:rFonts w:hint="eastAsia" w:hAnsi="宋体" w:cs="宋体"/>
          <w:color w:val="auto"/>
          <w:kern w:val="2"/>
          <w:sz w:val="28"/>
          <w:szCs w:val="28"/>
          <w:lang w:val="en-US" w:eastAsia="zh-CN" w:bidi="ar"/>
        </w:rPr>
        <w:t>子项单价</w:t>
      </w:r>
      <w:r>
        <w:rPr>
          <w:rFonts w:hint="eastAsia" w:hAnsi="宋体" w:cs="宋体"/>
          <w:color w:val="auto"/>
          <w:kern w:val="2"/>
          <w:sz w:val="28"/>
          <w:szCs w:val="28"/>
          <w:lang w:bidi="ar"/>
        </w:rPr>
        <w:t>内，不另计费用）主要工作内容：</w:t>
      </w:r>
    </w:p>
    <w:p w14:paraId="5203E5FA">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w:t>
      </w:r>
      <w:r>
        <w:rPr>
          <w:rFonts w:hint="eastAsia" w:hAnsi="宋体" w:cs="宋体"/>
          <w:color w:val="auto"/>
          <w:kern w:val="2"/>
          <w:sz w:val="28"/>
          <w:szCs w:val="28"/>
          <w:lang w:bidi="ar"/>
        </w:rPr>
        <w:t>基坑清槽：（1）人工配合机械基底局部修整（如挖电缆沟、电梯井、集水坑、排水沟</w:t>
      </w:r>
      <w:r>
        <w:rPr>
          <w:rFonts w:hint="eastAsia" w:hAnsi="宋体" w:cs="宋体"/>
          <w:color w:val="auto"/>
          <w:kern w:val="2"/>
          <w:sz w:val="28"/>
          <w:szCs w:val="28"/>
          <w:lang w:eastAsia="zh-CN" w:bidi="ar"/>
        </w:rPr>
        <w:t>、</w:t>
      </w:r>
      <w:r>
        <w:rPr>
          <w:rFonts w:hint="eastAsia" w:hAnsi="宋体" w:cs="宋体"/>
          <w:color w:val="auto"/>
          <w:kern w:val="2"/>
          <w:sz w:val="28"/>
          <w:szCs w:val="28"/>
          <w:lang w:val="en-US" w:eastAsia="zh-CN" w:bidi="ar"/>
        </w:rPr>
        <w:t>下柱墩</w:t>
      </w:r>
      <w:r>
        <w:rPr>
          <w:rFonts w:hint="eastAsia" w:hAnsi="宋体" w:cs="宋体"/>
          <w:color w:val="auto"/>
          <w:kern w:val="2"/>
          <w:sz w:val="28"/>
          <w:szCs w:val="28"/>
          <w:lang w:bidi="ar"/>
        </w:rPr>
        <w:t>等用到的机械由招标人提供，投标人配合人工）；（2）电梯井及集水坑、砖胎膜四周回填</w:t>
      </w:r>
      <w:r>
        <w:rPr>
          <w:rFonts w:hint="eastAsia" w:hAnsi="宋体" w:cs="宋体"/>
          <w:color w:val="auto"/>
          <w:kern w:val="2"/>
          <w:sz w:val="28"/>
          <w:szCs w:val="28"/>
          <w:lang w:val="en-US" w:eastAsia="zh-CN" w:bidi="ar"/>
        </w:rPr>
        <w:t>夯实</w:t>
      </w:r>
      <w:r>
        <w:rPr>
          <w:rFonts w:hint="eastAsia" w:hAnsi="宋体" w:cs="宋体"/>
          <w:color w:val="auto"/>
          <w:kern w:val="2"/>
          <w:sz w:val="28"/>
          <w:szCs w:val="28"/>
          <w:lang w:bidi="ar"/>
        </w:rPr>
        <w:t>、基底局部处理（含打钎拍底）；</w:t>
      </w:r>
    </w:p>
    <w:p w14:paraId="7A9A83C1">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2、</w:t>
      </w:r>
      <w:r>
        <w:rPr>
          <w:rFonts w:hint="eastAsia" w:hAnsi="宋体" w:cs="宋体"/>
          <w:color w:val="auto"/>
          <w:kern w:val="2"/>
          <w:sz w:val="28"/>
          <w:szCs w:val="28"/>
          <w:lang w:bidi="ar"/>
        </w:rPr>
        <w:t>地下室垫层、首层地坪、防水找平及保护层：（1）砼浇灌、振捣、抹平、压实、养护，垫层浇筑时一次抹平压光直接做防水；（2）砼输送泵泵管倒运、安装、拆除、清理；（3）落地砼清理并运送到招标人指定地点、各种砼器具的清理；（4）竖向防水保护层的挂网粉刷；（5）垫层的铺设；（6）砼浇筑过程中泵管疏通及意外情况下砼倒运人工费；</w:t>
      </w:r>
    </w:p>
    <w:p w14:paraId="14BD7E73">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3、</w:t>
      </w:r>
      <w:r>
        <w:rPr>
          <w:rFonts w:hint="eastAsia" w:hAnsi="宋体" w:cs="宋体"/>
          <w:color w:val="auto"/>
          <w:kern w:val="2"/>
          <w:sz w:val="28"/>
          <w:szCs w:val="28"/>
          <w:lang w:bidi="ar"/>
        </w:rPr>
        <w:t>外墙防水保护层（含汽车坡道、自行车坡道外墙）：（1）铺贴保温板保护层，备注：含筏板侧边以及筏板外边缘至地下室侧壁外墙根部（全封闭）。地下室外墙保温板铺贴、部分地下室防水保护墙砌筑，含所有工序、基层清理、施工准备、施工后的成品保护、工完场清等。</w:t>
      </w:r>
    </w:p>
    <w:p w14:paraId="44A8B4A7">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4</w:t>
      </w:r>
      <w:r>
        <w:rPr>
          <w:rFonts w:hint="eastAsia" w:hAnsi="宋体" w:cs="宋体"/>
          <w:color w:val="auto"/>
          <w:kern w:val="2"/>
          <w:sz w:val="28"/>
          <w:szCs w:val="28"/>
          <w:lang w:eastAsia="zh-CN" w:bidi="ar"/>
        </w:rPr>
        <w:t>、</w:t>
      </w:r>
      <w:r>
        <w:rPr>
          <w:rFonts w:hint="eastAsia" w:hAnsi="宋体" w:cs="宋体"/>
          <w:color w:val="auto"/>
          <w:kern w:val="2"/>
          <w:sz w:val="28"/>
          <w:szCs w:val="28"/>
          <w:lang w:bidi="ar"/>
        </w:rPr>
        <w:t>砖胎膜砌筑、抹灰：（1）砌筑、抹灰</w:t>
      </w:r>
      <w:r>
        <w:rPr>
          <w:rFonts w:hint="eastAsia" w:hAnsi="宋体" w:cs="宋体"/>
          <w:color w:val="auto"/>
          <w:kern w:val="2"/>
          <w:sz w:val="28"/>
          <w:szCs w:val="28"/>
          <w:highlight w:val="yellow"/>
          <w:lang w:bidi="ar"/>
        </w:rPr>
        <w:t>（砌块、预拌砂浆项目部提供）</w:t>
      </w:r>
      <w:r>
        <w:rPr>
          <w:rFonts w:hint="eastAsia" w:hAnsi="宋体" w:cs="宋体"/>
          <w:color w:val="auto"/>
          <w:kern w:val="2"/>
          <w:sz w:val="28"/>
          <w:szCs w:val="28"/>
          <w:lang w:bidi="ar"/>
        </w:rPr>
        <w:t>；零星工程需自拌；（2）材料及工具的场内水平垂直运输</w:t>
      </w:r>
      <w:r>
        <w:rPr>
          <w:rFonts w:hint="eastAsia" w:hAnsi="宋体" w:cs="宋体"/>
          <w:color w:val="auto"/>
          <w:kern w:val="2"/>
          <w:sz w:val="28"/>
          <w:szCs w:val="28"/>
          <w:lang w:eastAsia="zh-CN" w:bidi="ar"/>
        </w:rPr>
        <w:t>（</w:t>
      </w:r>
      <w:r>
        <w:rPr>
          <w:rFonts w:hint="eastAsia" w:hAnsi="宋体" w:cs="宋体"/>
          <w:color w:val="auto"/>
          <w:kern w:val="2"/>
          <w:sz w:val="28"/>
          <w:szCs w:val="28"/>
          <w:lang w:val="en-US" w:eastAsia="zh-CN" w:bidi="ar"/>
        </w:rPr>
        <w:t>不保证全覆盖</w:t>
      </w:r>
      <w:r>
        <w:rPr>
          <w:rFonts w:hint="eastAsia" w:hAnsi="宋体" w:cs="宋体"/>
          <w:color w:val="auto"/>
          <w:kern w:val="2"/>
          <w:sz w:val="28"/>
          <w:szCs w:val="28"/>
          <w:lang w:eastAsia="zh-CN" w:bidi="ar"/>
        </w:rPr>
        <w:t>）</w:t>
      </w:r>
      <w:r>
        <w:rPr>
          <w:rFonts w:hint="eastAsia" w:hAnsi="宋体" w:cs="宋体"/>
          <w:color w:val="auto"/>
          <w:kern w:val="2"/>
          <w:sz w:val="28"/>
          <w:szCs w:val="28"/>
          <w:lang w:bidi="ar"/>
        </w:rPr>
        <w:t>；（3）基础砖胎模的砌筑、抹灰及细部处理，底板防水导墙砌筑、抹灰；（4）防水基层修补，找平。备注：零星砌体的砌筑、抹灰、细部处理等，严格按照招标人施工方案进行施工。（5）大型机械设备基础及挡墙施工。（6）砖胎膜处人工回填土及平整（基础工程施工时，砖胎膜部分先行砌筑，而后再进行人工回填土并平整）。（7）配电房及变压器基础、二级箱及三级箱的砖砌支架、塔吊基础砌筑排水沟；砂浆罐、水泥罐基础的浇筑、粉刷、砌筑等。</w:t>
      </w:r>
    </w:p>
    <w:p w14:paraId="17275153">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default" w:hAnsi="宋体" w:eastAsia="宋体" w:cs="宋体"/>
          <w:color w:val="auto"/>
          <w:kern w:val="2"/>
          <w:sz w:val="28"/>
          <w:szCs w:val="28"/>
          <w:lang w:val="en-US" w:eastAsia="zh-CN" w:bidi="ar"/>
        </w:rPr>
      </w:pPr>
      <w:r>
        <w:rPr>
          <w:rFonts w:hint="eastAsia" w:hAnsi="宋体" w:cs="宋体"/>
          <w:color w:val="auto"/>
          <w:kern w:val="2"/>
          <w:sz w:val="28"/>
          <w:szCs w:val="28"/>
          <w:lang w:bidi="ar"/>
        </w:rPr>
        <w:t>5</w:t>
      </w:r>
      <w:r>
        <w:rPr>
          <w:rFonts w:hint="eastAsia" w:hAnsi="宋体" w:cs="宋体"/>
          <w:color w:val="auto"/>
          <w:kern w:val="2"/>
          <w:sz w:val="28"/>
          <w:szCs w:val="28"/>
          <w:lang w:eastAsia="zh-CN" w:bidi="ar"/>
        </w:rPr>
        <w:t>、</w:t>
      </w:r>
      <w:r>
        <w:rPr>
          <w:rFonts w:hint="eastAsia" w:hAnsi="宋体" w:cs="宋体"/>
          <w:color w:val="auto"/>
          <w:kern w:val="2"/>
          <w:sz w:val="28"/>
          <w:szCs w:val="28"/>
          <w:lang w:bidi="ar"/>
        </w:rPr>
        <w:t>混凝土工程（包括但不限于一次及二次结构）：（1）砼运输浇捣、振捣、抹平、压实、拉毛、覆盖养护及清理；砼浇筑前板面浇水湿润、杂物清理，尤其是楼梯踏步交接处清理，确保钢筋验收时板面干净。（2）砼输送泵泵管和支架倒运、安装、加固、拆除、清理；</w:t>
      </w:r>
      <w:r>
        <w:rPr>
          <w:rFonts w:hint="eastAsia" w:hAnsi="宋体" w:cs="宋体"/>
          <w:color w:val="auto"/>
          <w:kern w:val="2"/>
          <w:sz w:val="28"/>
          <w:szCs w:val="28"/>
          <w:highlight w:val="yellow"/>
          <w:lang w:bidi="ar"/>
        </w:rPr>
        <w:t>提供布料机及浇筑时</w:t>
      </w:r>
      <w:r>
        <w:rPr>
          <w:rFonts w:hint="eastAsia" w:hAnsi="宋体" w:cs="宋体"/>
          <w:color w:val="auto"/>
          <w:kern w:val="2"/>
          <w:sz w:val="28"/>
          <w:szCs w:val="28"/>
          <w:lang w:bidi="ar"/>
        </w:rPr>
        <w:t>布料杆的安装及二次挪动，剪力墙浇筑期间空中作业临时通道的铺设。（3）落地砼清理并运送到招标人指定地点、各种砼器具的清理；（4）接茬部位砼的清理剔凿、保护；（5）各种预留洞及洞口套管、管井洞的二次浇筑等；（6）泵管加固、砼浇筑过程中泵管疏通及意外情况下砼倒运人工费；（7）接茬部位砼、后浇带处砼等清理剔凿、保护（浇筑砼出现结构偏差，墙地面剔凿）；</w:t>
      </w:r>
      <w:r>
        <w:rPr>
          <w:rFonts w:hint="eastAsia" w:hAnsi="宋体" w:cs="宋体"/>
          <w:color w:val="auto"/>
          <w:kern w:val="2"/>
          <w:sz w:val="28"/>
          <w:szCs w:val="28"/>
          <w:lang w:val="en-US" w:eastAsia="zh-CN" w:bidi="ar"/>
        </w:rPr>
        <w:t>墙</w:t>
      </w:r>
      <w:r>
        <w:rPr>
          <w:rFonts w:hint="eastAsia" w:hAnsi="宋体" w:cs="宋体"/>
          <w:color w:val="auto"/>
          <w:kern w:val="2"/>
          <w:sz w:val="28"/>
          <w:szCs w:val="28"/>
          <w:lang w:bidi="ar"/>
        </w:rPr>
        <w:t>柱脚砂浆封堵，柱头电焊渣和锯渣杂物清理冲洗。（8）砼施工通病的防治与修理等全部施工内容；（9）养护用地膜或棉毡由投标人提供，不再单独计取费用（10）协助混凝土试块的制作、拆除、运输包含在综合单价当中；（11）所有砼浇筑时不得超过楼层的控制标高线，否则造成的经济损失由投标方承担。所有降板区域模板拆除后，投标方及时收口、收边，与混凝土浇筑收光同时完成，确保美观，所有有防水要求的区域混凝土必须收光处理。（12）在浇筑板砼时必须严格对板厚进行控制，保证板厚，必须采用平板振动器振动两遍，浇筑时严禁在混凝土中加水，保证振捣到位、密实，特别是有防水要求的板（卫生间、屋面）。如发现以上板面砼施工质量问题，招标人根据具体情况进行处罚，所造成的损失由投标人负责。砼浇筑完毕后的12小时内，应对砼进行养护，养护时间不小于7天（抗渗砼养护期不小于14天），养护期间要保持砼表面湿润，砼浇筑完必须及时用地膜或棉毡覆盖养护。（13）外架及大型设备拆除后所有洞口封堵必须满足规范及</w:t>
      </w:r>
      <w:r>
        <w:rPr>
          <w:rFonts w:hint="eastAsia" w:hAnsi="宋体" w:cs="宋体"/>
          <w:color w:val="auto"/>
          <w:kern w:val="2"/>
          <w:sz w:val="28"/>
          <w:szCs w:val="28"/>
          <w:lang w:val="en-US" w:eastAsia="zh-CN" w:bidi="ar"/>
        </w:rPr>
        <w:t>滁州</w:t>
      </w:r>
      <w:r>
        <w:rPr>
          <w:rFonts w:hint="eastAsia" w:hAnsi="宋体" w:cs="宋体"/>
          <w:color w:val="auto"/>
          <w:kern w:val="2"/>
          <w:sz w:val="28"/>
          <w:szCs w:val="28"/>
          <w:lang w:bidi="ar"/>
        </w:rPr>
        <w:t>市相关文件要求，以上不另计费用，含在合同单价内。（14）对于进场的</w:t>
      </w:r>
      <w:r>
        <w:rPr>
          <w:rFonts w:hint="eastAsia" w:hAnsi="宋体" w:cs="宋体"/>
          <w:color w:val="auto"/>
          <w:kern w:val="2"/>
          <w:sz w:val="28"/>
          <w:szCs w:val="28"/>
          <w:lang w:val="en-US" w:eastAsia="zh-CN" w:bidi="ar"/>
        </w:rPr>
        <w:t>砼、砂浆</w:t>
      </w:r>
      <w:r>
        <w:rPr>
          <w:rFonts w:hint="eastAsia" w:hAnsi="宋体" w:cs="宋体"/>
          <w:color w:val="auto"/>
          <w:kern w:val="2"/>
          <w:sz w:val="28"/>
          <w:szCs w:val="28"/>
          <w:lang w:bidi="ar"/>
        </w:rPr>
        <w:t>等大宗材料必须进行限额领料。对于无法进行限额领料的材料，招标人将采用总量控制，即根据预算总量加约定损耗一次包死（详见甲供材约定损耗表），每次进场材料投标人参与验收，并对进场材料进行保管、使用。（15）投标人每次楼层浇筑砼前，使用专用操作平台，不允许直接在钢筋上行走。（16）混凝土电缆井、雨水井等井盖的制作、安装。</w:t>
      </w:r>
      <w:r>
        <w:rPr>
          <w:rFonts w:hint="eastAsia" w:hAnsi="宋体" w:cs="宋体"/>
          <w:color w:val="auto"/>
          <w:kern w:val="2"/>
          <w:sz w:val="28"/>
          <w:szCs w:val="28"/>
          <w:lang w:eastAsia="zh-CN" w:bidi="ar"/>
        </w:rPr>
        <w:t>（</w:t>
      </w:r>
      <w:r>
        <w:rPr>
          <w:rFonts w:hint="eastAsia" w:hAnsi="宋体" w:cs="宋体"/>
          <w:color w:val="auto"/>
          <w:kern w:val="2"/>
          <w:sz w:val="28"/>
          <w:szCs w:val="28"/>
          <w:lang w:val="en-US" w:eastAsia="zh-CN" w:bidi="ar"/>
        </w:rPr>
        <w:t>17</w:t>
      </w:r>
      <w:r>
        <w:rPr>
          <w:rFonts w:hint="eastAsia" w:hAnsi="宋体" w:cs="宋体"/>
          <w:color w:val="auto"/>
          <w:kern w:val="2"/>
          <w:sz w:val="28"/>
          <w:szCs w:val="28"/>
          <w:lang w:eastAsia="zh-CN" w:bidi="ar"/>
        </w:rPr>
        <w:t>）</w:t>
      </w:r>
      <w:r>
        <w:rPr>
          <w:rFonts w:hint="eastAsia" w:hAnsi="宋体" w:cs="宋体"/>
          <w:color w:val="auto"/>
          <w:kern w:val="2"/>
          <w:sz w:val="28"/>
          <w:szCs w:val="28"/>
          <w:lang w:val="en-US" w:eastAsia="zh-CN" w:bidi="ar"/>
        </w:rPr>
        <w:t>每次浇筑砼时润管砂浆需用料斗统一收集到招标方指定地点使用，严禁浇筑至主体结构构件内。（18）浇筑结束时通过废料收集管冲洗至一层按招标方要求集中收集处理，投标人负责安拆废料收集管（管材甲供）。</w:t>
      </w:r>
    </w:p>
    <w:p w14:paraId="5A678AC8">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6</w:t>
      </w:r>
      <w:r>
        <w:rPr>
          <w:rFonts w:hint="eastAsia" w:hAnsi="宋体" w:cs="宋体"/>
          <w:color w:val="auto"/>
          <w:kern w:val="2"/>
          <w:sz w:val="28"/>
          <w:szCs w:val="28"/>
          <w:lang w:eastAsia="zh-CN" w:bidi="ar"/>
        </w:rPr>
        <w:t>、</w:t>
      </w:r>
      <w:r>
        <w:rPr>
          <w:rFonts w:hint="eastAsia" w:hAnsi="宋体" w:cs="宋体"/>
          <w:color w:val="auto"/>
          <w:kern w:val="2"/>
          <w:sz w:val="28"/>
          <w:szCs w:val="28"/>
          <w:lang w:bidi="ar"/>
        </w:rPr>
        <w:t>砌筑工程（含填充墙、隔墙、砖柱、砖砌台阶、台阶挡墙、屋面出入口、地下室管沟、外墙节点、清水墙）：包括但不限于（1）含</w:t>
      </w:r>
      <w:r>
        <w:rPr>
          <w:rFonts w:hint="eastAsia" w:hAnsi="宋体" w:cs="宋体"/>
          <w:color w:val="auto"/>
          <w:kern w:val="2"/>
          <w:sz w:val="28"/>
          <w:szCs w:val="28"/>
          <w:lang w:val="en-US" w:eastAsia="zh-CN" w:bidi="ar"/>
        </w:rPr>
        <w:t>自</w:t>
      </w:r>
      <w:r>
        <w:rPr>
          <w:rFonts w:hint="eastAsia" w:hAnsi="宋体" w:cs="宋体"/>
          <w:color w:val="auto"/>
          <w:kern w:val="2"/>
          <w:sz w:val="28"/>
          <w:szCs w:val="28"/>
          <w:lang w:bidi="ar"/>
        </w:rPr>
        <w:t>拌砂浆、砌筑，含修补、门窗等洞口收边收口；（2）搭拆砌体用脚手架及拆除后的分类码放（工具脚手架由投标人自理）；（3）材料及工具的场内水平垂直运输、二次运输；（4）砌块砌体（含配砖）、各种砖砌体的砌筑、体积小于0.3</w:t>
      </w:r>
      <w:r>
        <w:rPr>
          <w:rFonts w:hint="eastAsia" w:hAnsi="宋体" w:cs="宋体"/>
          <w:color w:val="auto"/>
          <w:kern w:val="2"/>
          <w:sz w:val="28"/>
          <w:szCs w:val="28"/>
          <w:lang w:val="en-US" w:eastAsia="zh-CN" w:bidi="ar"/>
        </w:rPr>
        <w:t>m³</w:t>
      </w:r>
      <w:r>
        <w:rPr>
          <w:rFonts w:hint="eastAsia" w:hAnsi="宋体" w:cs="宋体"/>
          <w:color w:val="auto"/>
          <w:kern w:val="2"/>
          <w:sz w:val="28"/>
          <w:szCs w:val="28"/>
          <w:lang w:bidi="ar"/>
        </w:rPr>
        <w:t>的零星砌体、排水沟、集水井、降水井的制作等、砌体加固筋的制作安装位置标注（5）预留各类洞口（卫生间墙洞、安装类各种洞口）、补各种洞口（含安装</w:t>
      </w:r>
      <w:r>
        <w:rPr>
          <w:rFonts w:hint="eastAsia" w:hAnsi="宋体" w:cs="宋体"/>
          <w:color w:val="auto"/>
          <w:kern w:val="2"/>
          <w:sz w:val="28"/>
          <w:szCs w:val="28"/>
          <w:lang w:val="en-US" w:eastAsia="zh-CN" w:bidi="ar"/>
        </w:rPr>
        <w:t>类</w:t>
      </w:r>
      <w:r>
        <w:rPr>
          <w:rFonts w:hint="eastAsia" w:hAnsi="宋体" w:cs="宋体"/>
          <w:color w:val="auto"/>
          <w:kern w:val="2"/>
          <w:sz w:val="28"/>
          <w:szCs w:val="28"/>
          <w:lang w:bidi="ar"/>
        </w:rPr>
        <w:t>各种洞口）、综合各种悬挑层工字钢或槽钢位置砖墙、剪力墙洞口封堵、管道井封堵、预制盖板、栏杆反坎、清理垃圾、清理落地灰（达到施工地坪标准）、填缝、补槽、搭拆工具架或简易脚手架（自费，</w:t>
      </w:r>
      <w:r>
        <w:rPr>
          <w:rFonts w:hint="eastAsia" w:hAnsi="宋体" w:cs="宋体"/>
          <w:color w:val="auto"/>
          <w:kern w:val="2"/>
          <w:sz w:val="28"/>
          <w:szCs w:val="28"/>
          <w:lang w:val="en-US" w:eastAsia="zh-CN" w:bidi="ar"/>
        </w:rPr>
        <w:t>高度</w:t>
      </w:r>
      <w:r>
        <w:rPr>
          <w:rFonts w:hint="eastAsia" w:hAnsi="宋体" w:cs="宋体"/>
          <w:color w:val="auto"/>
          <w:kern w:val="2"/>
          <w:sz w:val="28"/>
          <w:szCs w:val="28"/>
          <w:lang w:bidi="ar"/>
        </w:rPr>
        <w:t>5m以内）、用完材料堆至项目部指定地点、制安防火木砖或预埋砼块、制安过梁（预制过梁含模板制作、放置钢筋、预制、运输、安装）</w:t>
      </w:r>
      <w:r>
        <w:rPr>
          <w:rFonts w:hint="eastAsia" w:hAnsi="宋体" w:cs="宋体"/>
          <w:color w:val="auto"/>
          <w:kern w:val="2"/>
          <w:sz w:val="28"/>
          <w:szCs w:val="28"/>
          <w:lang w:val="en-US" w:eastAsia="zh-CN" w:bidi="ar"/>
        </w:rPr>
        <w:t>负责水电预制过梁安装</w:t>
      </w:r>
      <w:r>
        <w:rPr>
          <w:rFonts w:hint="eastAsia" w:hAnsi="宋体" w:cs="宋体"/>
          <w:color w:val="auto"/>
          <w:kern w:val="2"/>
          <w:sz w:val="28"/>
          <w:szCs w:val="28"/>
          <w:lang w:bidi="ar"/>
        </w:rPr>
        <w:t>、砼浇捣、墙体拉结筋整理、墙体砌筑及根部混凝土、卫生间翻边倒角、收料、试块制作等完成工作所需的所有费用。</w:t>
      </w:r>
    </w:p>
    <w:p w14:paraId="51440C3F">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7</w:t>
      </w:r>
      <w:r>
        <w:rPr>
          <w:rFonts w:hint="eastAsia" w:hAnsi="宋体" w:cs="宋体"/>
          <w:color w:val="auto"/>
          <w:kern w:val="2"/>
          <w:sz w:val="28"/>
          <w:szCs w:val="28"/>
          <w:lang w:eastAsia="zh-CN" w:bidi="ar"/>
        </w:rPr>
        <w:t>、</w:t>
      </w:r>
      <w:r>
        <w:rPr>
          <w:rFonts w:hint="eastAsia" w:hAnsi="宋体" w:cs="宋体"/>
          <w:color w:val="auto"/>
          <w:kern w:val="2"/>
          <w:sz w:val="28"/>
          <w:szCs w:val="28"/>
          <w:lang w:bidi="ar"/>
        </w:rPr>
        <w:t>二次结构混凝土（构造柱（含门包柱）、钢筋混凝土板带、圈梁、过梁、水平系梁、压顶、设备基础（含</w:t>
      </w:r>
      <w:r>
        <w:rPr>
          <w:rFonts w:hint="eastAsia" w:hAnsi="宋体" w:cs="宋体"/>
          <w:color w:val="auto"/>
          <w:kern w:val="2"/>
          <w:sz w:val="28"/>
          <w:szCs w:val="28"/>
          <w:lang w:val="en-US" w:eastAsia="zh-CN" w:bidi="ar"/>
        </w:rPr>
        <w:t>实体以外</w:t>
      </w:r>
      <w:r>
        <w:rPr>
          <w:rFonts w:hint="eastAsia" w:hAnsi="宋体" w:cs="宋体"/>
          <w:color w:val="auto"/>
          <w:kern w:val="2"/>
          <w:sz w:val="28"/>
          <w:szCs w:val="28"/>
          <w:lang w:bidi="ar"/>
        </w:rPr>
        <w:t>砂浆罐、水泥罐</w:t>
      </w:r>
      <w:r>
        <w:rPr>
          <w:rFonts w:hint="eastAsia" w:hAnsi="宋体" w:cs="宋体"/>
          <w:color w:val="auto"/>
          <w:kern w:val="2"/>
          <w:sz w:val="28"/>
          <w:szCs w:val="28"/>
          <w:lang w:eastAsia="zh-CN" w:bidi="ar"/>
        </w:rPr>
        <w:t>、</w:t>
      </w:r>
      <w:r>
        <w:rPr>
          <w:rFonts w:hint="eastAsia" w:hAnsi="宋体" w:cs="宋体"/>
          <w:color w:val="auto"/>
          <w:kern w:val="2"/>
          <w:sz w:val="28"/>
          <w:szCs w:val="28"/>
          <w:lang w:val="en-US" w:eastAsia="zh-CN" w:bidi="ar"/>
        </w:rPr>
        <w:t>施工升降机等</w:t>
      </w:r>
      <w:r>
        <w:rPr>
          <w:rFonts w:hint="eastAsia" w:hAnsi="宋体" w:cs="宋体"/>
          <w:color w:val="auto"/>
          <w:kern w:val="2"/>
          <w:sz w:val="28"/>
          <w:szCs w:val="28"/>
          <w:lang w:bidi="ar"/>
        </w:rPr>
        <w:t>基础）、防水反梁、砼翻边零星混凝土构件、窗台板、栏板、线条、止水坎、导墙、电梯机房反坎等）；包含但不限于以下内容：砼搅拌、浇筑（含设备基础砼浇筑）以及材料水平及垂直运输（包括材料二次和多次搬运）、抹平、收光、养护、制作砼试块、浇筑前及浇筑后垃圾清理、外运等为完成二次结构混凝土施工的全部工作内容。需配备小型震动泵，确保二次结构砼密实。</w:t>
      </w:r>
    </w:p>
    <w:p w14:paraId="3A96B4D0">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8</w:t>
      </w:r>
      <w:r>
        <w:rPr>
          <w:rFonts w:hint="eastAsia" w:hAnsi="宋体" w:cs="宋体"/>
          <w:color w:val="auto"/>
          <w:kern w:val="2"/>
          <w:sz w:val="28"/>
          <w:szCs w:val="28"/>
          <w:lang w:eastAsia="zh-CN" w:bidi="ar"/>
        </w:rPr>
        <w:t>、</w:t>
      </w:r>
      <w:r>
        <w:rPr>
          <w:rFonts w:hint="eastAsia" w:hAnsi="宋体" w:cs="宋体"/>
          <w:color w:val="auto"/>
          <w:kern w:val="2"/>
          <w:sz w:val="28"/>
          <w:szCs w:val="28"/>
          <w:lang w:bidi="ar"/>
        </w:rPr>
        <w:t>楼地面工程（不含块料面层，含无障碍坡道、台阶平台、台阶面层、墙基防潮层、首层、碎石级配、刚性面层）：（1）筛沙、搅拌砂浆（砼）、材料及工具的水平垂直运输（含二次搬运）；（2）室内外楼地面清理、修补、门窗等洞口收边收口、提前蓄水、刷素水泥浆或界面剂、浇捣、抹光、压实、分割、切缝、灌塞缝、基层清理（含楼面凿毛）、灰饼、支拆模、抄平、弹线、砼的各种运输方式（根据现场实际情况确定）、放料、浇水养护、刻纹、找坡、预留预埋、修补、含试水房间在下水处做的圆弧、卫生间提前做阴角处理等、防水保护层、穿楼板的管或套管（含烟道口）的周边处理(砼坎台）、垃圾清运及材料</w:t>
      </w:r>
      <w:r>
        <w:rPr>
          <w:rFonts w:hint="eastAsia" w:hAnsi="宋体" w:cs="宋体"/>
          <w:color w:val="auto"/>
          <w:kern w:val="2"/>
          <w:sz w:val="28"/>
          <w:szCs w:val="28"/>
          <w:lang w:val="en-US" w:eastAsia="zh-CN" w:bidi="ar"/>
        </w:rPr>
        <w:t>运</w:t>
      </w:r>
      <w:r>
        <w:rPr>
          <w:rFonts w:hint="eastAsia" w:hAnsi="宋体" w:cs="宋体"/>
          <w:color w:val="auto"/>
          <w:kern w:val="2"/>
          <w:sz w:val="28"/>
          <w:szCs w:val="28"/>
          <w:lang w:bidi="ar"/>
        </w:rPr>
        <w:t>至招标人指定地点、配合其它单位施工等工作；（3）不分部位（含楼梯及所有地坪、各类管井二次施工楼地面等）的室内外地面与楼面、砂浆找平层（不含块料镶贴及其砂浆）、保护层、砼、成品钢筋网片安放、水泥砂浆楼地面及垫层（各种材料、不含基础垫层)、找平层、楼面防水保护层、防滑坡道、散水、地面压光、砂浆打底扫毛或划出纹道等。（4）地坪施工前及地坪施工后的</w:t>
      </w:r>
      <w:r>
        <w:rPr>
          <w:rFonts w:hint="eastAsia" w:hAnsi="宋体" w:cs="宋体"/>
          <w:color w:val="auto"/>
          <w:kern w:val="2"/>
          <w:sz w:val="28"/>
          <w:szCs w:val="28"/>
          <w:lang w:val="en-US" w:eastAsia="zh-CN" w:bidi="ar"/>
        </w:rPr>
        <w:t>蓄</w:t>
      </w:r>
      <w:r>
        <w:rPr>
          <w:rFonts w:hint="eastAsia" w:hAnsi="宋体" w:cs="宋体"/>
          <w:color w:val="auto"/>
          <w:kern w:val="2"/>
          <w:sz w:val="28"/>
          <w:szCs w:val="28"/>
          <w:lang w:bidi="ar"/>
        </w:rPr>
        <w:t>水费用（两次），用于检查是否有渗水及板面裂缝；（5）地面保温板材料运至施工面、保温板铺设（保温板材料由项目</w:t>
      </w:r>
      <w:r>
        <w:rPr>
          <w:rFonts w:hint="eastAsia" w:hAnsi="宋体" w:cs="宋体"/>
          <w:color w:val="auto"/>
          <w:kern w:val="2"/>
          <w:sz w:val="28"/>
          <w:szCs w:val="28"/>
          <w:lang w:val="en-US" w:eastAsia="zh-CN" w:bidi="ar"/>
        </w:rPr>
        <w:t>部</w:t>
      </w:r>
      <w:r>
        <w:rPr>
          <w:rFonts w:hint="eastAsia" w:hAnsi="宋体" w:cs="宋体"/>
          <w:color w:val="auto"/>
          <w:kern w:val="2"/>
          <w:sz w:val="28"/>
          <w:szCs w:val="28"/>
          <w:lang w:bidi="ar"/>
        </w:rPr>
        <w:t>提供）。</w:t>
      </w:r>
    </w:p>
    <w:p w14:paraId="42A366EE">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备注：楼梯除以上工作内容外包含踏步护角加工制作安装。</w:t>
      </w:r>
    </w:p>
    <w:p w14:paraId="11B08A5C">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9、</w:t>
      </w:r>
      <w:r>
        <w:rPr>
          <w:rFonts w:hint="eastAsia" w:hAnsi="宋体" w:cs="宋体"/>
          <w:color w:val="auto"/>
          <w:kern w:val="2"/>
          <w:sz w:val="28"/>
          <w:szCs w:val="28"/>
          <w:lang w:bidi="ar"/>
        </w:rPr>
        <w:t>细石混凝土楼地面：包含但不限于以下内容：测量放线、材料及半成品运输、砼的各种运输方式（根据现场实际情况确定）、二次搬运、砼拌制、刷素水泥浆或界面剂、浇捣、抹光、压实、分割、切缝、灌缝、填塞缝、基层清理、垃圾清运及材料至工程承包人指定地点、灰饼、支拆模、抄平、弹线、切割、搭拆泵管架、接管、冲洗、移管、放料、转运、浇水养护、找坡、预留预埋、做地坪时排水沟留设、集水坑和排水沟粉刷、各种盖板边粉刷、排水沟及集水井盖板铺设（成品盖板材料由招标人提供，投标人负责材料运输及铺设）、焊接、钢筋加工、制作、安装、修补、配合其它单位施工、安全文明施工、成品保护、劳动保护、含试水房间在下水处做的圆弧、穿楼板的管或套管（含烟道口）的周边处理(砼坎台）、地下室照明电缆及灯具等完成本工作一切费用。</w:t>
      </w:r>
    </w:p>
    <w:p w14:paraId="3CB8B35B">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10、</w:t>
      </w:r>
      <w:r>
        <w:rPr>
          <w:rFonts w:hint="eastAsia" w:hAnsi="宋体" w:cs="宋体"/>
          <w:color w:val="auto"/>
          <w:kern w:val="2"/>
          <w:sz w:val="28"/>
          <w:szCs w:val="28"/>
          <w:lang w:bidi="ar"/>
        </w:rPr>
        <w:t>屋面工程（含屋面水簸箕）：包含但不限于以下内容：（1）屋面保温板铺贴，屋面保护层,设分格缝,密封胶嵌缝；（2）水泥砂浆找平层、找坡层、隔离层；（3）基层处理、细石砼浇筑、钢筋网片铺设、铺贴保温板、板洞封堵、清扫、清錾、砂浆搅拌、运输、坡向地漏、垃圾清运等完成工作所需的所有费用；（4）女儿墙防水卷材收</w:t>
      </w:r>
      <w:r>
        <w:rPr>
          <w:rFonts w:hint="eastAsia" w:hAnsi="宋体" w:cs="宋体"/>
          <w:color w:val="auto"/>
          <w:kern w:val="2"/>
          <w:sz w:val="28"/>
          <w:szCs w:val="28"/>
          <w:lang w:val="en-US" w:eastAsia="zh-CN" w:bidi="ar"/>
        </w:rPr>
        <w:t>口</w:t>
      </w:r>
      <w:r>
        <w:rPr>
          <w:rFonts w:hint="eastAsia" w:hAnsi="宋体" w:cs="宋体"/>
          <w:color w:val="auto"/>
          <w:kern w:val="2"/>
          <w:sz w:val="28"/>
          <w:szCs w:val="28"/>
          <w:lang w:bidi="ar"/>
        </w:rPr>
        <w:t>挂网粉刷；（5）突出屋面结构的交接处,以及基层的转角处等,均应做成150*150圆弧或钝角，阴阳角填沥青类材料密封或内嵌填聚氨酯密封胶。屋面分隔缝，具体施工措施以招标人要求为准。（6）屋面排气道、排气孔安装、排气孔固定、屋面水簸箕浇筑等完成工作所需的所有费用。</w:t>
      </w:r>
    </w:p>
    <w:p w14:paraId="14C56BEC">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11、</w:t>
      </w:r>
      <w:r>
        <w:rPr>
          <w:rFonts w:hint="eastAsia" w:hAnsi="宋体" w:cs="宋体"/>
          <w:color w:val="auto"/>
          <w:kern w:val="2"/>
          <w:sz w:val="28"/>
          <w:szCs w:val="28"/>
          <w:lang w:bidi="ar"/>
        </w:rPr>
        <w:t>外墙及柱抹灰：包含但不限于以下内容：（1）筛沙、搅拌砂浆（砼、胶粉颗粒）、材料及工具的水平及垂直运输（含二次倒运）；（2）基底清理、墙面（包括窗台收口收边（含柱及墙顶梁等）、门窗等洞口不分部位）拍浆、灰饼、做护角、</w:t>
      </w:r>
      <w:r>
        <w:rPr>
          <w:rFonts w:hint="eastAsia" w:hAnsi="宋体" w:cs="宋体"/>
          <w:color w:val="auto"/>
          <w:kern w:val="2"/>
          <w:sz w:val="28"/>
          <w:szCs w:val="28"/>
          <w:lang w:val="en-US" w:eastAsia="zh-CN" w:bidi="ar"/>
        </w:rPr>
        <w:t>涂刷界面</w:t>
      </w:r>
      <w:r>
        <w:rPr>
          <w:rFonts w:hint="eastAsia" w:hAnsi="宋体" w:cs="宋体"/>
          <w:color w:val="auto"/>
          <w:kern w:val="2"/>
          <w:sz w:val="28"/>
          <w:szCs w:val="28"/>
          <w:lang w:bidi="ar"/>
        </w:rPr>
        <w:t>剂、打底、挂钢丝网片或网格布（尤其线条等粉刷层容易脱落位置必须压网格布，</w:t>
      </w:r>
      <w:r>
        <w:rPr>
          <w:rFonts w:hint="eastAsia" w:hAnsi="宋体" w:cs="宋体"/>
          <w:color w:val="auto"/>
          <w:kern w:val="2"/>
          <w:sz w:val="28"/>
          <w:szCs w:val="28"/>
          <w:highlight w:val="yellow"/>
          <w:lang w:bidi="ar"/>
        </w:rPr>
        <w:t>钢丝网、网格布</w:t>
      </w:r>
      <w:r>
        <w:rPr>
          <w:rFonts w:hint="eastAsia" w:hAnsi="宋体" w:cs="宋体"/>
          <w:color w:val="auto"/>
          <w:kern w:val="2"/>
          <w:sz w:val="28"/>
          <w:szCs w:val="28"/>
          <w:highlight w:val="yellow"/>
          <w:lang w:val="en-US" w:eastAsia="zh-CN" w:bidi="ar"/>
        </w:rPr>
        <w:t>投</w:t>
      </w:r>
      <w:r>
        <w:rPr>
          <w:rFonts w:hint="eastAsia" w:hAnsi="宋体" w:cs="宋体"/>
          <w:color w:val="auto"/>
          <w:kern w:val="2"/>
          <w:sz w:val="28"/>
          <w:szCs w:val="28"/>
          <w:highlight w:val="yellow"/>
          <w:lang w:bidi="ar"/>
        </w:rPr>
        <w:t>标方提供</w:t>
      </w:r>
      <w:r>
        <w:rPr>
          <w:rFonts w:hint="eastAsia" w:hAnsi="宋体" w:cs="宋体"/>
          <w:color w:val="auto"/>
          <w:kern w:val="2"/>
          <w:sz w:val="28"/>
          <w:szCs w:val="28"/>
          <w:highlight w:val="yellow"/>
          <w:lang w:val="en-US" w:eastAsia="zh-CN" w:bidi="ar"/>
        </w:rPr>
        <w:t>品质满足招标人及图要求</w:t>
      </w:r>
      <w:r>
        <w:rPr>
          <w:rFonts w:hint="eastAsia" w:hAnsi="宋体" w:cs="宋体"/>
          <w:color w:val="auto"/>
          <w:kern w:val="2"/>
          <w:sz w:val="28"/>
          <w:szCs w:val="28"/>
          <w:lang w:bidi="ar"/>
        </w:rPr>
        <w:t>）、抹灰、养护、清理落地灰，堵墙眼（对拉螺栓眼、脚手架洞及其它各种墙眼、洞口及防水处理）、门窗收口、门窗四周边塞缝（填缝）、门窗固定片槽口补平、空调板和飘窗板阴角做半圆弧并刷防水涂料、修补、找角找直、脚手架搭拆或租赁移动脚手架等各种措施、用完材料堆至项目部指定地点、垃圾外运、试块制作、分格、嵌缝、保温施工后的滴水线、窗边防水砂浆填缝、线条粉刷、配合其它单位施工、成品保护、空鼓的维修与检查。（3）砂浆罐及罐体周边的工完场清、罐体使用完后的清洗、扬尘防护。（4）外墙门窗洞口用聚合物水泥砂浆加耐碱纤维网布增强、涂专用界面剂、铺翻脚手板等不分部位完成本分项工程所有工作内容；（5）凡楼梯、檐口、雨蓬、设备平台及飘板底均应做滴水线(成品滴水线、滴水线材料由投标人提供)，含材料费、运输、安装人工费，费用包含在综合单价中，不单独计算。（6）落地灰必须及时回收，二次搅拌利用，如不回收按每处100元罚款。</w:t>
      </w:r>
    </w:p>
    <w:p w14:paraId="74CA099C">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12、</w:t>
      </w:r>
      <w:r>
        <w:rPr>
          <w:rFonts w:hint="eastAsia" w:hAnsi="宋体" w:cs="宋体"/>
          <w:color w:val="auto"/>
          <w:kern w:val="2"/>
          <w:sz w:val="28"/>
          <w:szCs w:val="28"/>
          <w:lang w:bidi="ar"/>
        </w:rPr>
        <w:t>内墙抹灰（以及排水沟、集水井等抹灰）：包含但不限于以下内容：（1）筛沙、搅拌砂浆（砼、胶粉颗粒）、材料及工具的水平、垂直运输；（2）基底清理、墙面（包括窗台收口收边（含柱及墙顶梁等）、门窗等洞口不分部位）拍浆、灰饼、</w:t>
      </w:r>
      <w:r>
        <w:rPr>
          <w:rFonts w:hint="eastAsia" w:hAnsi="宋体" w:cs="宋体"/>
          <w:color w:val="auto"/>
          <w:kern w:val="2"/>
          <w:sz w:val="28"/>
          <w:szCs w:val="28"/>
          <w:lang w:val="en-US" w:eastAsia="zh-CN" w:bidi="ar"/>
        </w:rPr>
        <w:t>冲筋、</w:t>
      </w:r>
      <w:r>
        <w:rPr>
          <w:rFonts w:hint="eastAsia" w:hAnsi="宋体" w:cs="宋体"/>
          <w:color w:val="auto"/>
          <w:kern w:val="2"/>
          <w:sz w:val="28"/>
          <w:szCs w:val="28"/>
          <w:lang w:bidi="ar"/>
        </w:rPr>
        <w:t>做护角、</w:t>
      </w:r>
      <w:r>
        <w:rPr>
          <w:rFonts w:hint="eastAsia" w:hAnsi="宋体" w:cs="宋体"/>
          <w:color w:val="auto"/>
          <w:kern w:val="2"/>
          <w:sz w:val="28"/>
          <w:szCs w:val="28"/>
          <w:lang w:val="en-US" w:eastAsia="zh-CN" w:bidi="ar"/>
        </w:rPr>
        <w:t>涂刷界面</w:t>
      </w:r>
      <w:r>
        <w:rPr>
          <w:rFonts w:hint="eastAsia" w:hAnsi="宋体" w:cs="宋体"/>
          <w:color w:val="auto"/>
          <w:kern w:val="2"/>
          <w:sz w:val="28"/>
          <w:szCs w:val="28"/>
          <w:lang w:bidi="ar"/>
        </w:rPr>
        <w:t>剂、打底、挂钢丝网片或网格布</w:t>
      </w:r>
      <w:r>
        <w:rPr>
          <w:rFonts w:hint="eastAsia" w:hAnsi="宋体" w:cs="宋体"/>
          <w:color w:val="auto"/>
          <w:kern w:val="2"/>
          <w:sz w:val="28"/>
          <w:szCs w:val="28"/>
          <w:highlight w:val="yellow"/>
          <w:lang w:bidi="ar"/>
        </w:rPr>
        <w:t>（钢丝网、网格布</w:t>
      </w:r>
      <w:r>
        <w:rPr>
          <w:rFonts w:hint="eastAsia" w:hAnsi="宋体" w:cs="宋体"/>
          <w:color w:val="auto"/>
          <w:kern w:val="2"/>
          <w:sz w:val="28"/>
          <w:szCs w:val="28"/>
          <w:highlight w:val="yellow"/>
          <w:lang w:val="en-US" w:eastAsia="zh-CN" w:bidi="ar"/>
        </w:rPr>
        <w:t>投</w:t>
      </w:r>
      <w:r>
        <w:rPr>
          <w:rFonts w:hint="eastAsia" w:hAnsi="宋体" w:cs="宋体"/>
          <w:color w:val="auto"/>
          <w:kern w:val="2"/>
          <w:sz w:val="28"/>
          <w:szCs w:val="28"/>
          <w:highlight w:val="yellow"/>
          <w:lang w:bidi="ar"/>
        </w:rPr>
        <w:t>标方提供</w:t>
      </w:r>
      <w:r>
        <w:rPr>
          <w:rFonts w:hint="eastAsia" w:hAnsi="宋体" w:cs="宋体"/>
          <w:color w:val="auto"/>
          <w:kern w:val="2"/>
          <w:sz w:val="28"/>
          <w:szCs w:val="28"/>
          <w:highlight w:val="yellow"/>
          <w:lang w:val="en-US" w:eastAsia="zh-CN" w:bidi="ar"/>
        </w:rPr>
        <w:t>品质满足招标人及图要求</w:t>
      </w:r>
      <w:r>
        <w:rPr>
          <w:rFonts w:hint="eastAsia" w:hAnsi="宋体" w:cs="宋体"/>
          <w:color w:val="auto"/>
          <w:kern w:val="2"/>
          <w:sz w:val="28"/>
          <w:szCs w:val="28"/>
          <w:highlight w:val="yellow"/>
          <w:lang w:eastAsia="zh-CN" w:bidi="ar"/>
        </w:rPr>
        <w:t>）</w:t>
      </w:r>
      <w:r>
        <w:rPr>
          <w:rFonts w:hint="eastAsia" w:hAnsi="宋体" w:cs="宋体"/>
          <w:color w:val="auto"/>
          <w:kern w:val="2"/>
          <w:sz w:val="28"/>
          <w:szCs w:val="28"/>
          <w:lang w:bidi="ar"/>
        </w:rPr>
        <w:t>、抹灰、养护、清理落地灰，堵墙眼（对拉螺栓眼、脚手架洞及其它各种墙眼、洞口及防水处理）、修补、找角找直、脚手架搭拆或租赁移动脚手架等各种措施、用完材料堆至项目部指定地点、垃圾外运、试块制作、配合其它单位施工、成品保护、空鼓的维修与检查。（3）砂浆罐及罐体周边的</w:t>
      </w:r>
      <w:r>
        <w:rPr>
          <w:rFonts w:hint="eastAsia" w:hAnsi="宋体" w:cs="宋体"/>
          <w:color w:val="auto"/>
          <w:kern w:val="2"/>
          <w:sz w:val="28"/>
          <w:szCs w:val="28"/>
          <w:lang w:val="en-US" w:eastAsia="zh-CN" w:bidi="ar"/>
        </w:rPr>
        <w:t>每日</w:t>
      </w:r>
      <w:r>
        <w:rPr>
          <w:rFonts w:hint="eastAsia" w:hAnsi="宋体" w:cs="宋体"/>
          <w:color w:val="auto"/>
          <w:kern w:val="2"/>
          <w:sz w:val="28"/>
          <w:szCs w:val="28"/>
          <w:lang w:bidi="ar"/>
        </w:rPr>
        <w:t>工完场清、罐体使用完后的清洗、扬尘防护。（4）防水上翻保护层粉刷、女儿墙顶部及内口（含防水上翻保护层粉刷</w:t>
      </w:r>
      <w:r>
        <w:rPr>
          <w:rFonts w:hint="eastAsia" w:hAnsi="宋体" w:cs="宋体"/>
          <w:color w:val="auto"/>
          <w:kern w:val="2"/>
          <w:sz w:val="28"/>
          <w:szCs w:val="28"/>
          <w:lang w:eastAsia="zh-CN" w:bidi="ar"/>
        </w:rPr>
        <w:t>，</w:t>
      </w:r>
      <w:r>
        <w:rPr>
          <w:rFonts w:hint="eastAsia" w:hAnsi="宋体" w:cs="宋体"/>
          <w:color w:val="auto"/>
          <w:kern w:val="2"/>
          <w:sz w:val="28"/>
          <w:szCs w:val="28"/>
          <w:lang w:val="en-US" w:eastAsia="zh-CN" w:bidi="ar"/>
        </w:rPr>
        <w:t>同一部位只计一次工程量</w:t>
      </w:r>
      <w:r>
        <w:rPr>
          <w:rFonts w:hint="eastAsia" w:hAnsi="宋体" w:cs="宋体"/>
          <w:color w:val="auto"/>
          <w:kern w:val="2"/>
          <w:sz w:val="28"/>
          <w:szCs w:val="28"/>
          <w:lang w:bidi="ar"/>
        </w:rPr>
        <w:t>）、屋面墙柱梁均按照内粉；（6）凡墙上预留有消防箱与墙体等宽时,在粉刷前加铺一层镀锌钢丝网,周边宽出300,丝径0.8,孔径10x10,用射钉与基层锚固。所有费用包含在综合单价中，不另计费用。（7）楼梯间和人流通道的</w:t>
      </w:r>
      <w:r>
        <w:rPr>
          <w:rFonts w:hint="eastAsia" w:hAnsi="宋体" w:cs="宋体"/>
          <w:color w:val="auto"/>
          <w:kern w:val="2"/>
          <w:sz w:val="28"/>
          <w:szCs w:val="28"/>
          <w:lang w:val="en-US" w:eastAsia="zh-CN" w:bidi="ar"/>
        </w:rPr>
        <w:t>墙体</w:t>
      </w:r>
      <w:r>
        <w:rPr>
          <w:rFonts w:hint="eastAsia" w:hAnsi="宋体" w:cs="宋体"/>
          <w:color w:val="auto"/>
          <w:kern w:val="2"/>
          <w:sz w:val="28"/>
          <w:szCs w:val="28"/>
          <w:lang w:bidi="ar"/>
        </w:rPr>
        <w:t>,热镀锌钢丝网加强，采用射钉、固定片与基层锚固。（8）落地灰必须及时回收，二次搅拌利用，如不回收按每处100元罚款。</w:t>
      </w:r>
    </w:p>
    <w:p w14:paraId="05DF8D74">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13、</w:t>
      </w:r>
      <w:r>
        <w:rPr>
          <w:rFonts w:hint="eastAsia" w:hAnsi="宋体" w:cs="宋体"/>
          <w:color w:val="auto"/>
          <w:kern w:val="2"/>
          <w:sz w:val="28"/>
          <w:szCs w:val="28"/>
          <w:lang w:bidi="ar"/>
        </w:rPr>
        <w:t>道路清扫施工包括但不限于：包括项目整个施工期间</w:t>
      </w:r>
      <w:r>
        <w:rPr>
          <w:rFonts w:hint="eastAsia" w:hAnsi="宋体" w:cs="宋体"/>
          <w:color w:val="auto"/>
          <w:kern w:val="2"/>
          <w:sz w:val="28"/>
          <w:szCs w:val="28"/>
          <w:lang w:val="en-US" w:eastAsia="zh-CN" w:bidi="ar"/>
        </w:rPr>
        <w:t>的</w:t>
      </w:r>
      <w:r>
        <w:rPr>
          <w:rFonts w:hint="eastAsia" w:hAnsi="宋体" w:cs="宋体"/>
          <w:color w:val="auto"/>
          <w:kern w:val="2"/>
          <w:sz w:val="28"/>
          <w:szCs w:val="28"/>
          <w:lang w:bidi="ar"/>
        </w:rPr>
        <w:t>（1）所有排水工作；（2）地面积水清扫；（3）整个施工期间扬尘防治的裸土覆盖、洒水降尘；（4）地下室集水井、电梯井清理；（5）施工场区道路保洁；（6）楼层建筑垃圾清理、归堆；（7）场区建筑材料码放；（8）专职人员负责车辆出场前冲洗</w:t>
      </w:r>
      <w:r>
        <w:rPr>
          <w:rFonts w:hint="eastAsia" w:hAnsi="宋体" w:cs="宋体"/>
          <w:color w:val="auto"/>
          <w:kern w:val="2"/>
          <w:sz w:val="28"/>
          <w:szCs w:val="28"/>
          <w:lang w:eastAsia="zh-CN" w:bidi="ar"/>
        </w:rPr>
        <w:t>（</w:t>
      </w:r>
      <w:r>
        <w:rPr>
          <w:rFonts w:hint="eastAsia" w:hAnsi="宋体" w:cs="宋体"/>
          <w:color w:val="auto"/>
          <w:kern w:val="2"/>
          <w:sz w:val="28"/>
          <w:szCs w:val="28"/>
          <w:lang w:val="en-US" w:eastAsia="zh-CN" w:bidi="ar"/>
        </w:rPr>
        <w:t>含冲洗平台清理</w:t>
      </w:r>
      <w:r>
        <w:rPr>
          <w:rFonts w:hint="eastAsia" w:hAnsi="宋体" w:cs="宋体"/>
          <w:color w:val="auto"/>
          <w:kern w:val="2"/>
          <w:sz w:val="28"/>
          <w:szCs w:val="28"/>
          <w:lang w:eastAsia="zh-CN" w:bidi="ar"/>
        </w:rPr>
        <w:t>）</w:t>
      </w:r>
      <w:r>
        <w:rPr>
          <w:rFonts w:hint="eastAsia" w:hAnsi="宋体" w:cs="宋体"/>
          <w:color w:val="auto"/>
          <w:kern w:val="2"/>
          <w:sz w:val="28"/>
          <w:szCs w:val="28"/>
          <w:lang w:bidi="ar"/>
        </w:rPr>
        <w:t>；（9）安全帽、反光马甲配备。（10）施工</w:t>
      </w:r>
      <w:r>
        <w:rPr>
          <w:rFonts w:hint="eastAsia" w:hAnsi="宋体" w:cs="宋体"/>
          <w:color w:val="auto"/>
          <w:kern w:val="2"/>
          <w:sz w:val="28"/>
          <w:szCs w:val="28"/>
          <w:lang w:val="en-US" w:eastAsia="zh-CN" w:bidi="ar"/>
        </w:rPr>
        <w:t>标段</w:t>
      </w:r>
      <w:r>
        <w:rPr>
          <w:rFonts w:hint="eastAsia" w:hAnsi="宋体" w:cs="宋体"/>
          <w:color w:val="auto"/>
          <w:kern w:val="2"/>
          <w:sz w:val="28"/>
          <w:szCs w:val="28"/>
          <w:lang w:bidi="ar"/>
        </w:rPr>
        <w:t>区域</w:t>
      </w:r>
      <w:r>
        <w:rPr>
          <w:rFonts w:hint="eastAsia" w:hAnsi="宋体" w:cs="宋体"/>
          <w:color w:val="auto"/>
          <w:kern w:val="2"/>
          <w:sz w:val="28"/>
          <w:szCs w:val="28"/>
          <w:lang w:val="en-US" w:eastAsia="zh-CN" w:bidi="ar"/>
        </w:rPr>
        <w:t>及红线内</w:t>
      </w:r>
      <w:r>
        <w:rPr>
          <w:rFonts w:hint="eastAsia" w:hAnsi="宋体" w:cs="宋体"/>
          <w:color w:val="auto"/>
          <w:kern w:val="2"/>
          <w:sz w:val="28"/>
          <w:szCs w:val="28"/>
          <w:lang w:bidi="ar"/>
        </w:rPr>
        <w:t>的每日派人清理、打扫（由项目部安排，劳务分包人不得有异议）；迎接各类检查及验收各场区及楼层、楼梯必须按照现场管理人员要求进行打扫，生活垃圾、建筑垃圾的现场内指定地点堆放，所有周转材料场内的分类堆放、码垛等。按省级文明规定要求搞好场容、场貌的工作。（11）塔吊基础、电梯基础、物料提升机基础、材料加工及堆放场地的硬化与其他布置、场区的卫生打扫、现场整理由劳务分包人负责。中标人负责现场抽排水，设备由</w:t>
      </w:r>
      <w:r>
        <w:rPr>
          <w:rFonts w:hint="eastAsia" w:hAnsi="宋体" w:cs="宋体"/>
          <w:color w:val="auto"/>
          <w:kern w:val="2"/>
          <w:sz w:val="28"/>
          <w:szCs w:val="28"/>
          <w:lang w:val="en-US" w:eastAsia="zh-CN" w:bidi="ar"/>
        </w:rPr>
        <w:t>招</w:t>
      </w:r>
      <w:r>
        <w:rPr>
          <w:rFonts w:hint="eastAsia" w:hAnsi="宋体" w:cs="宋体"/>
          <w:color w:val="auto"/>
          <w:kern w:val="2"/>
          <w:sz w:val="28"/>
          <w:szCs w:val="28"/>
          <w:lang w:bidi="ar"/>
        </w:rPr>
        <w:t>标人提供；楼层内外垃圾清扫，现场临时设施及相关措施混凝土浇筑（临时道路另计），现场临时设施及相关措施墙体砌筑、粉刷（已另计）、涂漆(油漆招标人提供），现场积水清理、现场厕所清理、临时道路每天冲洗降尘，装卸文明施工材料、物资转运码放、防尘网覆盖，配合项目部临时</w:t>
      </w:r>
      <w:r>
        <w:rPr>
          <w:rFonts w:hint="eastAsia" w:hAnsi="宋体" w:cs="宋体"/>
          <w:color w:val="auto"/>
          <w:kern w:val="2"/>
          <w:sz w:val="28"/>
          <w:szCs w:val="28"/>
          <w:lang w:val="en-US" w:eastAsia="zh-CN" w:bidi="ar"/>
        </w:rPr>
        <w:t>水电</w:t>
      </w:r>
      <w:r>
        <w:rPr>
          <w:rFonts w:hint="eastAsia" w:hAnsi="宋体" w:cs="宋体"/>
          <w:color w:val="auto"/>
          <w:kern w:val="2"/>
          <w:sz w:val="28"/>
          <w:szCs w:val="28"/>
          <w:lang w:bidi="ar"/>
        </w:rPr>
        <w:t>的</w:t>
      </w:r>
      <w:r>
        <w:rPr>
          <w:rFonts w:hint="eastAsia" w:hAnsi="宋体" w:cs="宋体"/>
          <w:color w:val="auto"/>
          <w:kern w:val="2"/>
          <w:sz w:val="28"/>
          <w:szCs w:val="28"/>
          <w:lang w:val="en-US" w:eastAsia="zh-CN" w:bidi="ar"/>
        </w:rPr>
        <w:t>安装敷设拆除</w:t>
      </w:r>
      <w:r>
        <w:rPr>
          <w:rFonts w:hint="eastAsia" w:hAnsi="宋体" w:cs="宋体"/>
          <w:color w:val="auto"/>
          <w:kern w:val="2"/>
          <w:sz w:val="28"/>
          <w:szCs w:val="28"/>
          <w:lang w:bidi="ar"/>
        </w:rPr>
        <w:t>以及现场所有文明施工相关工作。如以上任一项安全文明施工内容未按项目部要求执行，</w:t>
      </w:r>
      <w:r>
        <w:rPr>
          <w:rFonts w:hint="eastAsia" w:hAnsi="宋体" w:cs="宋体"/>
          <w:color w:val="auto"/>
          <w:kern w:val="2"/>
          <w:sz w:val="28"/>
          <w:szCs w:val="28"/>
          <w:highlight w:val="yellow"/>
          <w:lang w:bidi="ar"/>
        </w:rPr>
        <w:t>每项按竣工图示建筑面积1元/m2扣除违约金，封顶</w:t>
      </w:r>
      <w:r>
        <w:rPr>
          <w:rFonts w:hint="eastAsia" w:hAnsi="宋体" w:cs="宋体"/>
          <w:color w:val="auto"/>
          <w:kern w:val="2"/>
          <w:sz w:val="28"/>
          <w:szCs w:val="28"/>
          <w:highlight w:val="yellow"/>
          <w:lang w:val="en-US" w:eastAsia="zh-CN" w:bidi="ar"/>
        </w:rPr>
        <w:t>10</w:t>
      </w:r>
      <w:r>
        <w:rPr>
          <w:rFonts w:hint="eastAsia" w:hAnsi="宋体" w:cs="宋体"/>
          <w:color w:val="auto"/>
          <w:kern w:val="2"/>
          <w:sz w:val="28"/>
          <w:szCs w:val="28"/>
          <w:highlight w:val="yellow"/>
          <w:lang w:bidi="ar"/>
        </w:rPr>
        <w:t>元/m2。</w:t>
      </w:r>
      <w:r>
        <w:rPr>
          <w:rFonts w:hint="eastAsia" w:hAnsi="宋体" w:cs="宋体"/>
          <w:color w:val="auto"/>
          <w:kern w:val="2"/>
          <w:sz w:val="28"/>
          <w:szCs w:val="28"/>
          <w:lang w:bidi="ar"/>
        </w:rPr>
        <w:t>（12）若投标人在施工过程中导致安全网、挑平网、密目网等的污染、破损，需及时恢复、更换，并承担相应的材料费、人工费，否则招标人有权安排他人施工，并按照1.5倍扣除中标人。因投标人施工过程中散落在挑平网、外挑架防护上的垃圾、材料等，应及时清理干净，否则招标人有权安排他人施工，并按照1.5倍扣除投标人。（13）所有垃圾由投标人清运并归堆至招标人指定地点，招标人负责垃圾外运。</w:t>
      </w:r>
    </w:p>
    <w:p w14:paraId="6C423E48">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14、</w:t>
      </w:r>
      <w:r>
        <w:rPr>
          <w:rFonts w:hint="eastAsia" w:hAnsi="宋体" w:cs="宋体"/>
          <w:color w:val="auto"/>
          <w:kern w:val="2"/>
          <w:sz w:val="28"/>
          <w:szCs w:val="28"/>
          <w:lang w:bidi="ar"/>
        </w:rPr>
        <w:t>瓷砖及石材铺贴不在分包工作范围内；</w:t>
      </w:r>
    </w:p>
    <w:p w14:paraId="445C3143">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注：劳务分包人承担劳保用品、安全施工防护用品、统一生活用品包含：配备统一的安全帽、安全带、工作服、雨衣、雨鞋、胶手套、绝缘手套、胸卡、床单和被罩、空调等。施工中用的辅材：塑料薄膜或棉毯（砼养护用）、屋面排汽管管材、钉子、射钉枪、铁丝、扎丝、胶水、界面剂、黄胶带、水管、墨汁、墨斗、铅笔、粉笔、石笔、皮尺、长毛刷、线坠、线绳、砂轮片、锯条、切割片、角磨机、锯片、刀片及本分包工程所需的任何辅助材料等。施工中的小型机械及手头工具：移动配电箱后的电线电缆、手提电钻、榔头、扳子、钉锤、手锯、螺丝刀、大小钢尺、线锤、水平管、手钳、手电筒、测量设备（必须提供有效的检验及校正报告）等。）</w:t>
      </w:r>
    </w:p>
    <w:p w14:paraId="1FDAC0C4">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15、</w:t>
      </w:r>
      <w:r>
        <w:rPr>
          <w:rFonts w:hint="eastAsia" w:hAnsi="宋体" w:cs="宋体"/>
          <w:color w:val="auto"/>
          <w:kern w:val="2"/>
          <w:sz w:val="28"/>
          <w:szCs w:val="28"/>
          <w:lang w:bidi="ar"/>
        </w:rPr>
        <w:t>瓦工工作详细说明：</w:t>
      </w:r>
    </w:p>
    <w:p w14:paraId="2621E87C">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bookmarkStart w:id="0" w:name="_Toc528306068"/>
      <w:bookmarkStart w:id="1" w:name="_Toc54781533"/>
      <w:bookmarkStart w:id="2" w:name="_Toc55546500"/>
      <w:bookmarkStart w:id="3" w:name="_Toc55668279"/>
      <w:bookmarkStart w:id="4" w:name="_Toc18510265"/>
      <w:bookmarkStart w:id="5" w:name="_Toc18510109"/>
      <w:r>
        <w:rPr>
          <w:rFonts w:hint="eastAsia" w:hAnsi="宋体" w:cs="宋体"/>
          <w:color w:val="auto"/>
          <w:kern w:val="2"/>
          <w:sz w:val="28"/>
          <w:szCs w:val="28"/>
          <w:lang w:val="en-US" w:eastAsia="zh-CN" w:bidi="ar"/>
        </w:rPr>
        <w:t>15.1</w:t>
      </w:r>
      <w:r>
        <w:rPr>
          <w:rFonts w:hint="eastAsia" w:hAnsi="宋体" w:cs="宋体"/>
          <w:color w:val="auto"/>
          <w:kern w:val="2"/>
          <w:sz w:val="28"/>
          <w:szCs w:val="28"/>
          <w:lang w:bidi="ar"/>
        </w:rPr>
        <w:t>混凝土浇筑：</w:t>
      </w:r>
      <w:bookmarkEnd w:id="0"/>
      <w:bookmarkEnd w:id="1"/>
      <w:bookmarkEnd w:id="2"/>
      <w:bookmarkEnd w:id="3"/>
      <w:bookmarkEnd w:id="4"/>
      <w:bookmarkEnd w:id="5"/>
    </w:p>
    <w:p w14:paraId="7DE0A93F">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①．商品混凝土的后台放料、输送管道的布设、安拆，临时运输。</w:t>
      </w:r>
    </w:p>
    <w:p w14:paraId="2EC9CBAD">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2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②</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．按照混凝土的操作工艺进行浇注、振捣（楼面须用平板振动器进行二次振捣）、抹面、覆盖塑料薄膜或棉毯、浇筑混凝土后12小时内进行浇水养护</w:t>
      </w:r>
      <w:r>
        <w:rPr>
          <w:rFonts w:hint="eastAsia" w:hAnsi="宋体" w:cs="宋体"/>
          <w:color w:val="auto"/>
          <w:kern w:val="2"/>
          <w:sz w:val="28"/>
          <w:szCs w:val="28"/>
          <w:lang w:eastAsia="zh-CN" w:bidi="ar"/>
        </w:rPr>
        <w:t>（</w:t>
      </w:r>
      <w:r>
        <w:rPr>
          <w:rFonts w:hint="eastAsia" w:hAnsi="宋体" w:cs="宋体"/>
          <w:color w:val="auto"/>
          <w:kern w:val="2"/>
          <w:sz w:val="28"/>
          <w:szCs w:val="28"/>
          <w:lang w:val="en-US" w:eastAsia="zh-CN" w:bidi="ar"/>
        </w:rPr>
        <w:t>含竖向构件采用喷雾器喷水养护</w:t>
      </w:r>
      <w:r>
        <w:rPr>
          <w:rFonts w:hint="eastAsia" w:hAnsi="宋体" w:cs="宋体"/>
          <w:color w:val="auto"/>
          <w:kern w:val="2"/>
          <w:sz w:val="28"/>
          <w:szCs w:val="28"/>
          <w:lang w:eastAsia="zh-CN" w:bidi="ar"/>
        </w:rPr>
        <w:t>）</w:t>
      </w:r>
      <w:r>
        <w:rPr>
          <w:rFonts w:hint="eastAsia" w:hAnsi="宋体" w:cs="宋体"/>
          <w:color w:val="auto"/>
          <w:kern w:val="2"/>
          <w:sz w:val="28"/>
          <w:szCs w:val="28"/>
          <w:lang w:bidi="ar"/>
        </w:rPr>
        <w:t>、修补，做好成品保护；</w:t>
      </w:r>
    </w:p>
    <w:p w14:paraId="0E977402">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3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③</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．混凝土输送泵管拆接、清理（若发生泵管堵塞，劳务分包人应承担拆卸、清洗泵管等工作的义务）；</w:t>
      </w:r>
    </w:p>
    <w:p w14:paraId="634A2121">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4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④</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．确保不浪费混凝土，对工作面散落的混凝土、砂浆及时清理再利用</w:t>
      </w:r>
      <w:r>
        <w:rPr>
          <w:rFonts w:hint="eastAsia" w:hAnsi="宋体" w:cs="宋体"/>
          <w:color w:val="auto"/>
          <w:kern w:val="2"/>
          <w:sz w:val="28"/>
          <w:szCs w:val="28"/>
          <w:lang w:eastAsia="zh-CN" w:bidi="ar"/>
        </w:rPr>
        <w:t>（</w:t>
      </w:r>
      <w:r>
        <w:rPr>
          <w:rFonts w:hint="eastAsia" w:hAnsi="宋体" w:cs="宋体"/>
          <w:color w:val="auto"/>
          <w:kern w:val="2"/>
          <w:sz w:val="28"/>
          <w:szCs w:val="28"/>
          <w:lang w:val="en-US" w:eastAsia="zh-CN" w:bidi="ar"/>
        </w:rPr>
        <w:t>如预制过梁等</w:t>
      </w:r>
      <w:r>
        <w:rPr>
          <w:rFonts w:hint="eastAsia" w:hAnsi="宋体" w:cs="宋体"/>
          <w:color w:val="auto"/>
          <w:kern w:val="2"/>
          <w:sz w:val="28"/>
          <w:szCs w:val="28"/>
          <w:lang w:eastAsia="zh-CN" w:bidi="ar"/>
        </w:rPr>
        <w:t>）</w:t>
      </w:r>
      <w:r>
        <w:rPr>
          <w:rFonts w:hint="eastAsia" w:hAnsi="宋体" w:cs="宋体"/>
          <w:color w:val="auto"/>
          <w:kern w:val="2"/>
          <w:sz w:val="28"/>
          <w:szCs w:val="28"/>
          <w:lang w:bidi="ar"/>
        </w:rPr>
        <w:t>，浇捣混凝土的区域随时保持干净；</w:t>
      </w:r>
    </w:p>
    <w:p w14:paraId="2DE5D5DE">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5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⑤</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．每次浇捣完毕后，泵管的拆除、清洗，泵车清洗、输送泵场地的清理。</w:t>
      </w:r>
    </w:p>
    <w:p w14:paraId="654A682F">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6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⑥</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．所有瓦工工具：铲、锹、木蟹、刮尺、灰桶、劳动车、胶鞋、插入式振动棒、平板振动器、磨光机、小型搅拌机、到三级箱的电源线、混凝土试压模、砂浆试压模、对讲机等。</w:t>
      </w:r>
    </w:p>
    <w:p w14:paraId="728BB84D">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7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⑦</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．混凝土试块制作。</w:t>
      </w:r>
    </w:p>
    <w:p w14:paraId="752A4B05">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bookmarkStart w:id="6" w:name="_Toc18510110"/>
      <w:bookmarkStart w:id="7" w:name="_Toc54781534"/>
      <w:bookmarkStart w:id="8" w:name="_Toc18510266"/>
      <w:bookmarkStart w:id="9" w:name="_Toc55668280"/>
      <w:bookmarkStart w:id="10" w:name="_Toc528306069"/>
      <w:bookmarkStart w:id="11" w:name="_Toc55546501"/>
      <w:r>
        <w:rPr>
          <w:rFonts w:hint="eastAsia" w:hAnsi="宋体" w:cs="宋体"/>
          <w:color w:val="auto"/>
          <w:kern w:val="2"/>
          <w:sz w:val="28"/>
          <w:szCs w:val="28"/>
          <w:lang w:val="en-US" w:eastAsia="zh-CN" w:bidi="ar"/>
        </w:rPr>
        <w:t>15.2</w:t>
      </w:r>
      <w:r>
        <w:rPr>
          <w:rFonts w:hint="eastAsia" w:hAnsi="宋体" w:cs="宋体"/>
          <w:color w:val="auto"/>
          <w:kern w:val="2"/>
          <w:sz w:val="28"/>
          <w:szCs w:val="28"/>
          <w:lang w:bidi="ar"/>
        </w:rPr>
        <w:t>砌筑工程：</w:t>
      </w:r>
      <w:bookmarkEnd w:id="6"/>
      <w:bookmarkEnd w:id="7"/>
      <w:bookmarkEnd w:id="8"/>
      <w:bookmarkEnd w:id="9"/>
      <w:bookmarkEnd w:id="10"/>
      <w:bookmarkEnd w:id="11"/>
    </w:p>
    <w:p w14:paraId="728CF221">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①．将堆场内砖或砌块运输至砌筑工作面，根据季节按要求提前对砖进行浇水润湿；</w:t>
      </w:r>
    </w:p>
    <w:p w14:paraId="2431CACF">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2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②</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．按图纸要求安放墙体拉接筋、门窗洞口的预留及预埋铁件；</w:t>
      </w:r>
    </w:p>
    <w:p w14:paraId="253E338E">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3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③</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．严格控制砂浆配合比，砂浆搅拌及运输至工作面，随拌随用，做到工完料尽场地清；</w:t>
      </w:r>
    </w:p>
    <w:p w14:paraId="5E4C8595">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4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④</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．自行搭设施工所需脚手架且必须具备稳定性（特别是楼梯间所用脚手架，应由项目部施工管理人员认可后才能使用）；</w:t>
      </w:r>
    </w:p>
    <w:p w14:paraId="38AD8B68">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5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⑤</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．脚手架悬挑型钢、连墙件以及施工电梯、塔吊附墙洞口的封堵，自来水、燃气、强电等洞口的封堵；</w:t>
      </w:r>
    </w:p>
    <w:p w14:paraId="74C9EC4B">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6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⑥</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．辅助材料运输；</w:t>
      </w:r>
    </w:p>
    <w:p w14:paraId="66A6782D">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bookmarkStart w:id="12" w:name="_Toc528306070"/>
      <w:bookmarkStart w:id="13" w:name="_Toc18510267"/>
      <w:bookmarkStart w:id="14" w:name="_Toc54781535"/>
      <w:bookmarkStart w:id="15" w:name="_Toc55546502"/>
      <w:bookmarkStart w:id="16" w:name="_Toc18510111"/>
      <w:bookmarkStart w:id="17" w:name="_Toc55668281"/>
      <w:r>
        <w:rPr>
          <w:rFonts w:hint="eastAsia" w:hAnsi="宋体" w:cs="宋体"/>
          <w:color w:val="auto"/>
          <w:kern w:val="2"/>
          <w:sz w:val="28"/>
          <w:szCs w:val="28"/>
          <w:lang w:val="en-US" w:eastAsia="zh-CN" w:bidi="ar"/>
        </w:rPr>
        <w:t>15.3</w:t>
      </w:r>
      <w:r>
        <w:rPr>
          <w:rFonts w:hint="eastAsia" w:hAnsi="宋体" w:cs="宋体"/>
          <w:color w:val="auto"/>
          <w:kern w:val="2"/>
          <w:sz w:val="28"/>
          <w:szCs w:val="28"/>
          <w:lang w:bidi="ar"/>
        </w:rPr>
        <w:t>抹灰工程：</w:t>
      </w:r>
      <w:bookmarkEnd w:id="12"/>
      <w:bookmarkEnd w:id="13"/>
      <w:bookmarkEnd w:id="14"/>
      <w:bookmarkEnd w:id="15"/>
      <w:bookmarkEnd w:id="16"/>
      <w:bookmarkEnd w:id="17"/>
    </w:p>
    <w:p w14:paraId="1B5D464B">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①．抹灰面层清理，洒水润湿；</w:t>
      </w:r>
    </w:p>
    <w:p w14:paraId="645E786C">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2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②</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．网格布铺设；</w:t>
      </w:r>
    </w:p>
    <w:p w14:paraId="173EA486">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3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③</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．灰饼制作；</w:t>
      </w:r>
    </w:p>
    <w:p w14:paraId="593A61A0">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4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④</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．阳角护角制作；</w:t>
      </w:r>
    </w:p>
    <w:p w14:paraId="2FC012C3">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5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⑤</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．部分墙面界面剂喷洒、混凝土墙面水泥拍浆；</w:t>
      </w:r>
    </w:p>
    <w:p w14:paraId="769CA24C">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6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⑥</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．严格控制砂浆配合比，砂浆搅拌及运输至工作面，随拌随用，做到工完料尽场地清；</w:t>
      </w:r>
    </w:p>
    <w:p w14:paraId="720B272E">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7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⑦</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．辅助材料运输</w:t>
      </w:r>
    </w:p>
    <w:p w14:paraId="30EB0D5E">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8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⑧</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．外墙螺栓孔的防渗封堵，穿墙螺栓封堵采用发泡剂+防水砂浆填充（木工螺杆洞口发泡剂施工由木工完成，其余洞口发泡剂投标方负责）；</w:t>
      </w:r>
    </w:p>
    <w:p w14:paraId="446C9A27">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9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⑨</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．成品养护及保护；</w:t>
      </w:r>
    </w:p>
    <w:p w14:paraId="15629D31">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bookmarkStart w:id="18" w:name="_Toc55668282"/>
      <w:bookmarkStart w:id="19" w:name="_Toc18510112"/>
      <w:bookmarkStart w:id="20" w:name="_Toc55546503"/>
      <w:bookmarkStart w:id="21" w:name="_Toc18510268"/>
      <w:bookmarkStart w:id="22" w:name="_Toc528306071"/>
      <w:bookmarkStart w:id="23" w:name="_Toc54781536"/>
      <w:r>
        <w:rPr>
          <w:rFonts w:hint="eastAsia" w:hAnsi="宋体" w:cs="宋体"/>
          <w:color w:val="auto"/>
          <w:kern w:val="2"/>
          <w:sz w:val="28"/>
          <w:szCs w:val="28"/>
          <w:lang w:val="en-US" w:eastAsia="zh-CN" w:bidi="ar"/>
        </w:rPr>
        <w:t>15.</w:t>
      </w:r>
      <w:r>
        <w:rPr>
          <w:rFonts w:hint="eastAsia" w:hAnsi="宋体" w:cs="宋体"/>
          <w:color w:val="auto"/>
          <w:kern w:val="2"/>
          <w:sz w:val="28"/>
          <w:szCs w:val="28"/>
          <w:lang w:bidi="ar"/>
        </w:rPr>
        <w:t>4地坪工程：</w:t>
      </w:r>
      <w:bookmarkEnd w:id="18"/>
      <w:bookmarkEnd w:id="19"/>
      <w:bookmarkEnd w:id="20"/>
      <w:bookmarkEnd w:id="21"/>
      <w:bookmarkEnd w:id="22"/>
      <w:bookmarkEnd w:id="23"/>
    </w:p>
    <w:p w14:paraId="03351E2C">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①．地面层清理，洒水湿润；</w:t>
      </w:r>
    </w:p>
    <w:p w14:paraId="27D32865">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2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②</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．灰饼的制作、基层处理（扫浆）；楼地面保温板铺贴。</w:t>
      </w:r>
    </w:p>
    <w:p w14:paraId="6AC17D30">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3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③</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．严格控制砂浆、细石混凝土配合比，砂浆、细石混凝土搅拌及运输至工作面，随拌随用，做到工完料尽场地清；</w:t>
      </w:r>
    </w:p>
    <w:p w14:paraId="1BEC8AC2">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4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④</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．辅助材料运输；</w:t>
      </w:r>
    </w:p>
    <w:p w14:paraId="5C93F2AA">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5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⑤</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．表面的收浆；</w:t>
      </w:r>
    </w:p>
    <w:p w14:paraId="32D15AD2">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6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⑥</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．面层拉毛；</w:t>
      </w:r>
    </w:p>
    <w:p w14:paraId="2495F5D2">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7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⑦</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．成品养护及保护；</w:t>
      </w:r>
    </w:p>
    <w:p w14:paraId="2804305D">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⑧、地坪切缝、填缝。</w:t>
      </w:r>
    </w:p>
    <w:p w14:paraId="43C026AB">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bookmarkStart w:id="24" w:name="_Toc18510269"/>
      <w:bookmarkStart w:id="25" w:name="_Toc528306072"/>
      <w:bookmarkStart w:id="26" w:name="_Toc55546504"/>
      <w:bookmarkStart w:id="27" w:name="_Toc55668283"/>
      <w:bookmarkStart w:id="28" w:name="_Toc18510113"/>
      <w:bookmarkStart w:id="29" w:name="_Toc54781537"/>
      <w:r>
        <w:rPr>
          <w:rFonts w:hint="eastAsia" w:hAnsi="宋体" w:cs="宋体"/>
          <w:color w:val="auto"/>
          <w:kern w:val="2"/>
          <w:sz w:val="28"/>
          <w:szCs w:val="28"/>
          <w:lang w:val="en-US" w:eastAsia="zh-CN" w:bidi="ar"/>
        </w:rPr>
        <w:t>16、</w:t>
      </w:r>
      <w:r>
        <w:rPr>
          <w:rFonts w:hint="eastAsia" w:hAnsi="宋体" w:cs="宋体"/>
          <w:color w:val="auto"/>
          <w:kern w:val="2"/>
          <w:sz w:val="28"/>
          <w:szCs w:val="28"/>
          <w:lang w:bidi="ar"/>
        </w:rPr>
        <w:t>质量验收标准:</w:t>
      </w:r>
      <w:bookmarkEnd w:id="24"/>
      <w:bookmarkEnd w:id="25"/>
      <w:bookmarkEnd w:id="26"/>
      <w:bookmarkEnd w:id="27"/>
      <w:bookmarkEnd w:id="28"/>
      <w:bookmarkEnd w:id="29"/>
    </w:p>
    <w:p w14:paraId="3D984184">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16.1</w:t>
      </w:r>
      <w:r>
        <w:rPr>
          <w:rFonts w:hint="eastAsia" w:hAnsi="宋体" w:cs="宋体"/>
          <w:color w:val="auto"/>
          <w:kern w:val="2"/>
          <w:sz w:val="28"/>
          <w:szCs w:val="28"/>
          <w:lang w:bidi="ar"/>
        </w:rPr>
        <w:t>混凝土质量验收奖罚标准: 混凝土工程质量应符合《混凝土结构工程施工质量验收规范GB 50204-2015》的要求。</w:t>
      </w:r>
    </w:p>
    <w:tbl>
      <w:tblPr>
        <w:tblStyle w:val="5"/>
        <w:tblW w:w="8784"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7"/>
        <w:gridCol w:w="8137"/>
      </w:tblGrid>
      <w:tr w14:paraId="12681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 w:hRule="atLeast"/>
        </w:trPr>
        <w:tc>
          <w:tcPr>
            <w:tcW w:w="8784" w:type="dxa"/>
            <w:gridSpan w:val="2"/>
            <w:tcBorders>
              <w:top w:val="single" w:color="auto" w:sz="4" w:space="0"/>
              <w:left w:val="single" w:color="auto" w:sz="4" w:space="0"/>
              <w:bottom w:val="single" w:color="auto" w:sz="4" w:space="0"/>
              <w:right w:val="single" w:color="auto" w:sz="4" w:space="0"/>
            </w:tcBorders>
            <w:vAlign w:val="center"/>
          </w:tcPr>
          <w:p w14:paraId="1516452A">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质量验收规范的规定</w:t>
            </w:r>
          </w:p>
        </w:tc>
      </w:tr>
      <w:tr w14:paraId="4508C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5" w:hRule="atLeast"/>
        </w:trPr>
        <w:tc>
          <w:tcPr>
            <w:tcW w:w="647" w:type="dxa"/>
            <w:tcBorders>
              <w:top w:val="single" w:color="auto" w:sz="4" w:space="0"/>
              <w:left w:val="single" w:color="auto" w:sz="4" w:space="0"/>
              <w:bottom w:val="single" w:color="auto" w:sz="4" w:space="0"/>
              <w:right w:val="single" w:color="auto" w:sz="4" w:space="0"/>
            </w:tcBorders>
            <w:vAlign w:val="center"/>
          </w:tcPr>
          <w:p w14:paraId="3E7DE1F8">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主控项目</w:t>
            </w:r>
          </w:p>
        </w:tc>
        <w:tc>
          <w:tcPr>
            <w:tcW w:w="8137" w:type="dxa"/>
            <w:tcBorders>
              <w:top w:val="single" w:color="auto" w:sz="4" w:space="0"/>
              <w:left w:val="single" w:color="auto" w:sz="4" w:space="0"/>
              <w:bottom w:val="single" w:color="auto" w:sz="4" w:space="0"/>
              <w:right w:val="single" w:color="auto" w:sz="4" w:space="0"/>
            </w:tcBorders>
            <w:vAlign w:val="center"/>
          </w:tcPr>
          <w:p w14:paraId="7E52AECC">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现浇结构的外观质量不应有严重缺陷（漏筋、蜂窝、孔洞、夹渣、疏松、裂缝等）。对已经出现的严重缺陷，应由施工单位提出技术处理方案，并经监理（建设）单位认可后进行处理。对经处理的部位，应重新检查验收。</w:t>
            </w:r>
          </w:p>
        </w:tc>
      </w:tr>
      <w:tr w14:paraId="46D86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7" w:type="dxa"/>
            <w:tcBorders>
              <w:top w:val="single" w:color="auto" w:sz="4" w:space="0"/>
              <w:left w:val="single" w:color="auto" w:sz="4" w:space="0"/>
              <w:bottom w:val="single" w:color="auto" w:sz="4" w:space="0"/>
              <w:right w:val="single" w:color="auto" w:sz="4" w:space="0"/>
            </w:tcBorders>
            <w:vAlign w:val="center"/>
          </w:tcPr>
          <w:p w14:paraId="7BFF61FB">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一般项目</w:t>
            </w:r>
          </w:p>
        </w:tc>
        <w:tc>
          <w:tcPr>
            <w:tcW w:w="8137" w:type="dxa"/>
            <w:tcBorders>
              <w:top w:val="single" w:color="auto" w:sz="4" w:space="0"/>
              <w:left w:val="single" w:color="auto" w:sz="4" w:space="0"/>
              <w:bottom w:val="single" w:color="auto" w:sz="4" w:space="0"/>
              <w:right w:val="single" w:color="auto" w:sz="4" w:space="0"/>
            </w:tcBorders>
            <w:vAlign w:val="center"/>
          </w:tcPr>
          <w:p w14:paraId="0F5EE734">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现浇结构的外观质量不宜有一般缺陷。对已经出现的一般缺陷，应由施工单位按技术处理方案进行处理，并重新检查验收。</w:t>
            </w:r>
          </w:p>
        </w:tc>
      </w:tr>
    </w:tbl>
    <w:p w14:paraId="767496A5">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①．混凝土等级必须符合图纸及方案设计要求，如有错用、混用的，处以2000-10000元/次罚款，返工后，并承担浪费混凝土材料费用。</w:t>
      </w:r>
    </w:p>
    <w:p w14:paraId="71C43DFC">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2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②</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 严禁对混凝土进行加水处理，一经发现除清理操作工人24小时内离场外，并对劳务分包处以2000元/次罚款，对当车混凝土质量造成影响者，由劳务分包承担当车混凝土材料费用。</w:t>
      </w:r>
    </w:p>
    <w:p w14:paraId="108AEB1B">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3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③</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．蜂窝、麻面、漏振、漏筋、过振、孔洞等现象，根据问题的严重性给予100-1000元罚款。</w:t>
      </w:r>
    </w:p>
    <w:p w14:paraId="3C6A1658">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4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④</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．浇筑后，混凝土楼面平整度允许偏差不得超过±5mm，超过10mm以外的范围处以100元/米的罚款。</w:t>
      </w:r>
    </w:p>
    <w:p w14:paraId="4CE7F5E6">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5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⑤</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．地下室底板、顶板、楼面混凝土面采用原浆压光3道，楼面混凝土面层应按要求进行拉毛；如不满足要求予以50元/平方米的罚款。</w:t>
      </w:r>
    </w:p>
    <w:p w14:paraId="79D160C7">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6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⑥</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．浇筑混凝土前，严禁乱踩上层钢筋，浇筑混凝土前应铺板搭桥，如有乱踩严重现象，给予5元/平方米的罚款。</w:t>
      </w:r>
    </w:p>
    <w:p w14:paraId="707AA588">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7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⑦</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．混凝土浇筑完成后，其强度未达到1.2Mpa以上就上人作业的，给予50元/平方米的罚款。</w:t>
      </w:r>
    </w:p>
    <w:p w14:paraId="2C2D3A55">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8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⑧</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．墙柱钢筋绑扎前，应对墙柱根部混凝土进行凿毛处理，未进行凿毛前，严禁进行墙柱模板和模，否则每处处以50元罚款。</w:t>
      </w:r>
    </w:p>
    <w:p w14:paraId="5E23A652">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9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⑨</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．混凝土浇筑前应对模板进行淋水，若不淋水处以200元/层或200元/施工段的处罚。</w:t>
      </w:r>
    </w:p>
    <w:p w14:paraId="18B070A8">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10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⑩</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浇筑混凝土8-12小时内用塑料薄膜进行覆盖并浇水养护，若养护不到位导致混凝土缺水、裂缝等质量问题产生，处以1000-3000元/层的罚款。混凝土养护时间为7天，有抗渗要求和掺加外加剂养护时间不少于14天，如达不到以上要求养护时间的，给予1000元/层的处罚。结构存在高差的部位，高低坎要顺直美观，若达不到要求处罚50元/处。地下室后浇带、变形缝、预留洞或分段浇筑部位及其他容易渗水的部位没有按照要求设置止水钢板或有效止水措施的，给予100元/米的罚款。</w:t>
      </w:r>
    </w:p>
    <w:p w14:paraId="43DEA0D7">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16.2</w:t>
      </w:r>
      <w:r>
        <w:rPr>
          <w:rFonts w:hint="eastAsia" w:hAnsi="宋体" w:cs="宋体"/>
          <w:color w:val="auto"/>
          <w:kern w:val="2"/>
          <w:sz w:val="28"/>
          <w:szCs w:val="28"/>
          <w:lang w:bidi="ar"/>
        </w:rPr>
        <w:t>填充墙砌体工程质量验收奖罚标准：砌体分项工程一定要符合《混凝土空心砖砌体工程 施工质量及验收规程DB34/T 1586-2012》的要求。</w:t>
      </w:r>
    </w:p>
    <w:tbl>
      <w:tblPr>
        <w:tblStyle w:val="5"/>
        <w:tblW w:w="846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1"/>
        <w:gridCol w:w="1681"/>
        <w:gridCol w:w="6224"/>
      </w:tblGrid>
      <w:tr w14:paraId="33382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6" w:type="dxa"/>
            <w:gridSpan w:val="3"/>
            <w:tcBorders>
              <w:top w:val="single" w:color="auto" w:sz="4" w:space="0"/>
              <w:left w:val="single" w:color="auto" w:sz="4" w:space="0"/>
              <w:bottom w:val="single" w:color="auto" w:sz="4" w:space="0"/>
              <w:right w:val="single" w:color="auto" w:sz="4" w:space="0"/>
            </w:tcBorders>
            <w:vAlign w:val="center"/>
          </w:tcPr>
          <w:p w14:paraId="4ECD40B4">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质量验收规范的规定</w:t>
            </w:r>
          </w:p>
        </w:tc>
      </w:tr>
      <w:tr w14:paraId="1D2E6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 w:hRule="atLeast"/>
          <w:jc w:val="center"/>
        </w:trPr>
        <w:tc>
          <w:tcPr>
            <w:tcW w:w="561" w:type="dxa"/>
            <w:tcBorders>
              <w:top w:val="single" w:color="auto" w:sz="4" w:space="0"/>
              <w:left w:val="single" w:color="auto" w:sz="4" w:space="0"/>
              <w:bottom w:val="single" w:color="auto" w:sz="4" w:space="0"/>
              <w:right w:val="single" w:color="auto" w:sz="4" w:space="0"/>
            </w:tcBorders>
            <w:vAlign w:val="center"/>
          </w:tcPr>
          <w:p w14:paraId="0C8DEA59">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1</w:t>
            </w:r>
          </w:p>
        </w:tc>
        <w:tc>
          <w:tcPr>
            <w:tcW w:w="1681" w:type="dxa"/>
            <w:tcBorders>
              <w:top w:val="single" w:color="auto" w:sz="4" w:space="0"/>
              <w:left w:val="single" w:color="auto" w:sz="4" w:space="0"/>
              <w:bottom w:val="single" w:color="auto" w:sz="4" w:space="0"/>
              <w:right w:val="single" w:color="auto" w:sz="4" w:space="0"/>
            </w:tcBorders>
            <w:vAlign w:val="center"/>
          </w:tcPr>
          <w:p w14:paraId="3B63FD46">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轴线位移</w:t>
            </w:r>
          </w:p>
        </w:tc>
        <w:tc>
          <w:tcPr>
            <w:tcW w:w="6224" w:type="dxa"/>
            <w:tcBorders>
              <w:top w:val="single" w:color="auto" w:sz="4" w:space="0"/>
              <w:left w:val="single" w:color="auto" w:sz="4" w:space="0"/>
              <w:bottom w:val="single" w:color="auto" w:sz="4" w:space="0"/>
              <w:right w:val="single" w:color="auto" w:sz="4" w:space="0"/>
            </w:tcBorders>
            <w:vAlign w:val="center"/>
          </w:tcPr>
          <w:p w14:paraId="05F82EF7">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≤10mm</w:t>
            </w:r>
          </w:p>
        </w:tc>
      </w:tr>
      <w:tr w14:paraId="1301C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jc w:val="center"/>
        </w:trPr>
        <w:tc>
          <w:tcPr>
            <w:tcW w:w="561" w:type="dxa"/>
            <w:tcBorders>
              <w:top w:val="single" w:color="auto" w:sz="4" w:space="0"/>
              <w:left w:val="single" w:color="auto" w:sz="4" w:space="0"/>
              <w:bottom w:val="single" w:color="auto" w:sz="4" w:space="0"/>
              <w:right w:val="single" w:color="auto" w:sz="4" w:space="0"/>
            </w:tcBorders>
            <w:vAlign w:val="center"/>
          </w:tcPr>
          <w:p w14:paraId="1823674F">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2</w:t>
            </w:r>
          </w:p>
        </w:tc>
        <w:tc>
          <w:tcPr>
            <w:tcW w:w="1681" w:type="dxa"/>
            <w:tcBorders>
              <w:top w:val="single" w:color="auto" w:sz="4" w:space="0"/>
              <w:left w:val="single" w:color="auto" w:sz="4" w:space="0"/>
              <w:bottom w:val="single" w:color="auto" w:sz="4" w:space="0"/>
              <w:right w:val="single" w:color="auto" w:sz="4" w:space="0"/>
            </w:tcBorders>
            <w:vAlign w:val="center"/>
          </w:tcPr>
          <w:p w14:paraId="213F061C">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垂直度</w:t>
            </w:r>
          </w:p>
        </w:tc>
        <w:tc>
          <w:tcPr>
            <w:tcW w:w="6224" w:type="dxa"/>
            <w:tcBorders>
              <w:top w:val="single" w:color="auto" w:sz="4" w:space="0"/>
              <w:left w:val="single" w:color="auto" w:sz="4" w:space="0"/>
              <w:right w:val="single" w:color="auto" w:sz="4" w:space="0"/>
            </w:tcBorders>
            <w:vAlign w:val="center"/>
          </w:tcPr>
          <w:p w14:paraId="09DA33CC">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≤5mm（每层）、≤10mm（全高≤10m）、≤20mm（全高＞10m）</w:t>
            </w:r>
          </w:p>
        </w:tc>
      </w:tr>
      <w:tr w14:paraId="76E02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1" w:type="dxa"/>
            <w:tcBorders>
              <w:top w:val="single" w:color="auto" w:sz="4" w:space="0"/>
              <w:left w:val="single" w:color="auto" w:sz="4" w:space="0"/>
              <w:bottom w:val="single" w:color="auto" w:sz="4" w:space="0"/>
              <w:right w:val="single" w:color="auto" w:sz="4" w:space="0"/>
            </w:tcBorders>
            <w:vAlign w:val="center"/>
          </w:tcPr>
          <w:p w14:paraId="4568FB4E">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3</w:t>
            </w:r>
          </w:p>
        </w:tc>
        <w:tc>
          <w:tcPr>
            <w:tcW w:w="1681" w:type="dxa"/>
            <w:tcBorders>
              <w:top w:val="single" w:color="auto" w:sz="4" w:space="0"/>
              <w:left w:val="single" w:color="auto" w:sz="4" w:space="0"/>
              <w:bottom w:val="single" w:color="auto" w:sz="4" w:space="0"/>
              <w:right w:val="single" w:color="auto" w:sz="4" w:space="0"/>
            </w:tcBorders>
            <w:vAlign w:val="center"/>
          </w:tcPr>
          <w:p w14:paraId="677DB4D4">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表面平整度</w:t>
            </w:r>
          </w:p>
        </w:tc>
        <w:tc>
          <w:tcPr>
            <w:tcW w:w="6224" w:type="dxa"/>
            <w:tcBorders>
              <w:top w:val="single" w:color="auto" w:sz="4" w:space="0"/>
              <w:left w:val="single" w:color="auto" w:sz="4" w:space="0"/>
              <w:bottom w:val="single" w:color="auto" w:sz="4" w:space="0"/>
              <w:right w:val="single" w:color="auto" w:sz="4" w:space="0"/>
            </w:tcBorders>
            <w:vAlign w:val="center"/>
          </w:tcPr>
          <w:p w14:paraId="5C8F0C85">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≤8mm</w:t>
            </w:r>
          </w:p>
        </w:tc>
      </w:tr>
      <w:tr w14:paraId="77C8F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1" w:type="dxa"/>
            <w:tcBorders>
              <w:top w:val="single" w:color="auto" w:sz="4" w:space="0"/>
              <w:left w:val="single" w:color="auto" w:sz="4" w:space="0"/>
              <w:bottom w:val="single" w:color="auto" w:sz="4" w:space="0"/>
              <w:right w:val="single" w:color="auto" w:sz="4" w:space="0"/>
            </w:tcBorders>
            <w:vAlign w:val="center"/>
          </w:tcPr>
          <w:p w14:paraId="1119D5B9">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4</w:t>
            </w:r>
          </w:p>
        </w:tc>
        <w:tc>
          <w:tcPr>
            <w:tcW w:w="1681" w:type="dxa"/>
            <w:tcBorders>
              <w:top w:val="single" w:color="auto" w:sz="4" w:space="0"/>
              <w:left w:val="single" w:color="auto" w:sz="4" w:space="0"/>
              <w:bottom w:val="single" w:color="auto" w:sz="4" w:space="0"/>
              <w:right w:val="single" w:color="auto" w:sz="4" w:space="0"/>
            </w:tcBorders>
            <w:vAlign w:val="center"/>
          </w:tcPr>
          <w:p w14:paraId="2728CC30">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门窗洞口高宽</w:t>
            </w:r>
          </w:p>
        </w:tc>
        <w:tc>
          <w:tcPr>
            <w:tcW w:w="6224" w:type="dxa"/>
            <w:tcBorders>
              <w:top w:val="single" w:color="auto" w:sz="4" w:space="0"/>
              <w:left w:val="single" w:color="auto" w:sz="4" w:space="0"/>
              <w:bottom w:val="single" w:color="auto" w:sz="4" w:space="0"/>
              <w:right w:val="single" w:color="auto" w:sz="4" w:space="0"/>
            </w:tcBorders>
            <w:vAlign w:val="center"/>
          </w:tcPr>
          <w:p w14:paraId="632E06D5">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±10</w:t>
            </w:r>
          </w:p>
        </w:tc>
      </w:tr>
      <w:tr w14:paraId="583C2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1" w:type="dxa"/>
            <w:tcBorders>
              <w:top w:val="single" w:color="auto" w:sz="4" w:space="0"/>
              <w:left w:val="single" w:color="auto" w:sz="4" w:space="0"/>
              <w:bottom w:val="single" w:color="auto" w:sz="4" w:space="0"/>
              <w:right w:val="single" w:color="auto" w:sz="4" w:space="0"/>
            </w:tcBorders>
            <w:vAlign w:val="center"/>
          </w:tcPr>
          <w:p w14:paraId="73F0B3F6">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5</w:t>
            </w:r>
          </w:p>
        </w:tc>
        <w:tc>
          <w:tcPr>
            <w:tcW w:w="1681" w:type="dxa"/>
            <w:tcBorders>
              <w:top w:val="single" w:color="auto" w:sz="4" w:space="0"/>
              <w:left w:val="single" w:color="auto" w:sz="4" w:space="0"/>
              <w:bottom w:val="single" w:color="auto" w:sz="4" w:space="0"/>
              <w:right w:val="single" w:color="auto" w:sz="4" w:space="0"/>
            </w:tcBorders>
            <w:vAlign w:val="center"/>
          </w:tcPr>
          <w:p w14:paraId="7434D030">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窗口偏移</w:t>
            </w:r>
          </w:p>
        </w:tc>
        <w:tc>
          <w:tcPr>
            <w:tcW w:w="6224" w:type="dxa"/>
            <w:tcBorders>
              <w:top w:val="single" w:color="auto" w:sz="4" w:space="0"/>
              <w:left w:val="single" w:color="auto" w:sz="4" w:space="0"/>
              <w:bottom w:val="single" w:color="auto" w:sz="4" w:space="0"/>
              <w:right w:val="single" w:color="auto" w:sz="4" w:space="0"/>
            </w:tcBorders>
            <w:vAlign w:val="center"/>
          </w:tcPr>
          <w:p w14:paraId="2923A9F7">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20mm</w:t>
            </w:r>
          </w:p>
        </w:tc>
      </w:tr>
      <w:tr w14:paraId="1F88E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561" w:type="dxa"/>
            <w:tcBorders>
              <w:top w:val="single" w:color="auto" w:sz="4" w:space="0"/>
              <w:left w:val="single" w:color="auto" w:sz="4" w:space="0"/>
              <w:bottom w:val="single" w:color="auto" w:sz="4" w:space="0"/>
              <w:right w:val="single" w:color="auto" w:sz="4" w:space="0"/>
            </w:tcBorders>
            <w:vAlign w:val="center"/>
          </w:tcPr>
          <w:p w14:paraId="1751D510">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6</w:t>
            </w:r>
          </w:p>
        </w:tc>
        <w:tc>
          <w:tcPr>
            <w:tcW w:w="1681" w:type="dxa"/>
            <w:tcBorders>
              <w:top w:val="single" w:color="auto" w:sz="4" w:space="0"/>
              <w:left w:val="single" w:color="auto" w:sz="4" w:space="0"/>
              <w:bottom w:val="single" w:color="auto" w:sz="4" w:space="0"/>
              <w:right w:val="single" w:color="auto" w:sz="4" w:space="0"/>
            </w:tcBorders>
            <w:vAlign w:val="center"/>
          </w:tcPr>
          <w:p w14:paraId="39678D9F">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砂浆饱满度</w:t>
            </w:r>
          </w:p>
        </w:tc>
        <w:tc>
          <w:tcPr>
            <w:tcW w:w="6224" w:type="dxa"/>
            <w:tcBorders>
              <w:top w:val="single" w:color="auto" w:sz="4" w:space="0"/>
              <w:left w:val="single" w:color="auto" w:sz="4" w:space="0"/>
              <w:bottom w:val="single" w:color="auto" w:sz="4" w:space="0"/>
              <w:right w:val="single" w:color="auto" w:sz="4" w:space="0"/>
            </w:tcBorders>
            <w:vAlign w:val="center"/>
          </w:tcPr>
          <w:p w14:paraId="54B0D930">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≥80%</w:t>
            </w:r>
          </w:p>
        </w:tc>
      </w:tr>
      <w:tr w14:paraId="65A5C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1" w:type="dxa"/>
            <w:tcBorders>
              <w:top w:val="single" w:color="auto" w:sz="4" w:space="0"/>
              <w:left w:val="single" w:color="auto" w:sz="4" w:space="0"/>
              <w:bottom w:val="single" w:color="auto" w:sz="4" w:space="0"/>
              <w:right w:val="single" w:color="auto" w:sz="4" w:space="0"/>
            </w:tcBorders>
            <w:vAlign w:val="center"/>
          </w:tcPr>
          <w:p w14:paraId="62A3435B">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7</w:t>
            </w:r>
          </w:p>
        </w:tc>
        <w:tc>
          <w:tcPr>
            <w:tcW w:w="1681" w:type="dxa"/>
            <w:tcBorders>
              <w:top w:val="single" w:color="auto" w:sz="4" w:space="0"/>
              <w:left w:val="single" w:color="auto" w:sz="4" w:space="0"/>
              <w:bottom w:val="single" w:color="auto" w:sz="4" w:space="0"/>
              <w:right w:val="single" w:color="auto" w:sz="4" w:space="0"/>
            </w:tcBorders>
            <w:vAlign w:val="center"/>
          </w:tcPr>
          <w:p w14:paraId="2C5BF850">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无混砌现象</w:t>
            </w:r>
          </w:p>
        </w:tc>
        <w:tc>
          <w:tcPr>
            <w:tcW w:w="6224" w:type="dxa"/>
            <w:tcBorders>
              <w:top w:val="single" w:color="auto" w:sz="4" w:space="0"/>
              <w:left w:val="single" w:color="auto" w:sz="4" w:space="0"/>
              <w:bottom w:val="single" w:color="auto" w:sz="4" w:space="0"/>
              <w:right w:val="single" w:color="auto" w:sz="4" w:space="0"/>
            </w:tcBorders>
            <w:vAlign w:val="center"/>
          </w:tcPr>
          <w:p w14:paraId="5F51F15F">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蒸压加气混凝土砌块砌体和轻骨料混凝土小型空心砌块砌体不应与其它块材混砌。</w:t>
            </w:r>
          </w:p>
        </w:tc>
      </w:tr>
      <w:tr w14:paraId="24D86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561" w:type="dxa"/>
            <w:tcBorders>
              <w:top w:val="single" w:color="auto" w:sz="4" w:space="0"/>
              <w:left w:val="single" w:color="auto" w:sz="4" w:space="0"/>
              <w:bottom w:val="single" w:color="auto" w:sz="4" w:space="0"/>
              <w:right w:val="single" w:color="auto" w:sz="4" w:space="0"/>
            </w:tcBorders>
            <w:vAlign w:val="center"/>
          </w:tcPr>
          <w:p w14:paraId="22F651A4">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8</w:t>
            </w:r>
          </w:p>
        </w:tc>
        <w:tc>
          <w:tcPr>
            <w:tcW w:w="1681" w:type="dxa"/>
            <w:tcBorders>
              <w:top w:val="single" w:color="auto" w:sz="4" w:space="0"/>
              <w:left w:val="single" w:color="auto" w:sz="4" w:space="0"/>
              <w:bottom w:val="single" w:color="auto" w:sz="4" w:space="0"/>
              <w:right w:val="single" w:color="auto" w:sz="4" w:space="0"/>
            </w:tcBorders>
            <w:vAlign w:val="center"/>
          </w:tcPr>
          <w:p w14:paraId="5EA6B4CD">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拉结钢筋</w:t>
            </w:r>
          </w:p>
        </w:tc>
        <w:tc>
          <w:tcPr>
            <w:tcW w:w="6224" w:type="dxa"/>
            <w:tcBorders>
              <w:top w:val="single" w:color="auto" w:sz="4" w:space="0"/>
              <w:left w:val="single" w:color="auto" w:sz="4" w:space="0"/>
              <w:bottom w:val="single" w:color="auto" w:sz="4" w:space="0"/>
              <w:right w:val="single" w:color="auto" w:sz="4" w:space="0"/>
            </w:tcBorders>
            <w:vAlign w:val="center"/>
          </w:tcPr>
          <w:p w14:paraId="3C730D77">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填充墙砌体留置的拉结钢筋或网片的位置应与块体皮数相符合。拉结钢筋或网片应置于灰缝中，埋置长度应符合设计要求，竖向位置偏差不应超过一皮高度。</w:t>
            </w:r>
          </w:p>
        </w:tc>
      </w:tr>
      <w:tr w14:paraId="5E7B7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jc w:val="center"/>
        </w:trPr>
        <w:tc>
          <w:tcPr>
            <w:tcW w:w="561" w:type="dxa"/>
            <w:tcBorders>
              <w:top w:val="single" w:color="auto" w:sz="4" w:space="0"/>
              <w:left w:val="single" w:color="auto" w:sz="4" w:space="0"/>
              <w:bottom w:val="single" w:color="auto" w:sz="4" w:space="0"/>
              <w:right w:val="single" w:color="auto" w:sz="4" w:space="0"/>
            </w:tcBorders>
            <w:vAlign w:val="center"/>
          </w:tcPr>
          <w:p w14:paraId="1C9ED1E7">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9</w:t>
            </w:r>
          </w:p>
        </w:tc>
        <w:tc>
          <w:tcPr>
            <w:tcW w:w="1681" w:type="dxa"/>
            <w:tcBorders>
              <w:top w:val="single" w:color="auto" w:sz="4" w:space="0"/>
              <w:left w:val="single" w:color="auto" w:sz="4" w:space="0"/>
              <w:bottom w:val="single" w:color="auto" w:sz="4" w:space="0"/>
              <w:right w:val="single" w:color="auto" w:sz="4" w:space="0"/>
            </w:tcBorders>
            <w:vAlign w:val="center"/>
          </w:tcPr>
          <w:p w14:paraId="13E759D2">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搭砌长度</w:t>
            </w:r>
          </w:p>
        </w:tc>
        <w:tc>
          <w:tcPr>
            <w:tcW w:w="6224" w:type="dxa"/>
            <w:tcBorders>
              <w:top w:val="single" w:color="auto" w:sz="4" w:space="0"/>
              <w:left w:val="single" w:color="auto" w:sz="4" w:space="0"/>
              <w:bottom w:val="single" w:color="auto" w:sz="4" w:space="0"/>
              <w:right w:val="single" w:color="auto" w:sz="4" w:space="0"/>
            </w:tcBorders>
            <w:vAlign w:val="center"/>
          </w:tcPr>
          <w:p w14:paraId="2D6D8B08">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填充墙砌筑时应错缝搭砌，蒸压加气混凝土砌块搭砌长度不应小于砌块长度的1/3,；轻骨料混凝土小型空心砌块搭砌长度不应小于90mm；竖向通缝不应大于2皮。</w:t>
            </w:r>
          </w:p>
        </w:tc>
      </w:tr>
      <w:tr w14:paraId="5E3DE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jc w:val="center"/>
        </w:trPr>
        <w:tc>
          <w:tcPr>
            <w:tcW w:w="561" w:type="dxa"/>
            <w:tcBorders>
              <w:top w:val="single" w:color="auto" w:sz="4" w:space="0"/>
              <w:left w:val="single" w:color="auto" w:sz="4" w:space="0"/>
              <w:bottom w:val="single" w:color="auto" w:sz="4" w:space="0"/>
              <w:right w:val="single" w:color="auto" w:sz="4" w:space="0"/>
            </w:tcBorders>
            <w:vAlign w:val="center"/>
          </w:tcPr>
          <w:p w14:paraId="42CA05C9">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10</w:t>
            </w:r>
          </w:p>
        </w:tc>
        <w:tc>
          <w:tcPr>
            <w:tcW w:w="1681" w:type="dxa"/>
            <w:tcBorders>
              <w:top w:val="single" w:color="auto" w:sz="4" w:space="0"/>
              <w:left w:val="single" w:color="auto" w:sz="4" w:space="0"/>
              <w:bottom w:val="single" w:color="auto" w:sz="4" w:space="0"/>
              <w:right w:val="single" w:color="auto" w:sz="4" w:space="0"/>
            </w:tcBorders>
            <w:vAlign w:val="center"/>
          </w:tcPr>
          <w:p w14:paraId="5B4CCB35">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灰缝厚度、宽度</w:t>
            </w:r>
          </w:p>
        </w:tc>
        <w:tc>
          <w:tcPr>
            <w:tcW w:w="6224" w:type="dxa"/>
            <w:tcBorders>
              <w:top w:val="single" w:color="auto" w:sz="4" w:space="0"/>
              <w:left w:val="single" w:color="auto" w:sz="4" w:space="0"/>
              <w:bottom w:val="single" w:color="auto" w:sz="4" w:space="0"/>
              <w:right w:val="single" w:color="auto" w:sz="4" w:space="0"/>
            </w:tcBorders>
            <w:vAlign w:val="center"/>
          </w:tcPr>
          <w:p w14:paraId="2C1C8C44">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填充墙砌体的灰缝厚度和宽度应正确。空心砖、轻骨料混凝土小型空心砌块的砌体灰缝应为8~12mm。蒸压加汽混凝土砌块砌体的水平灰缝厚度及竖向灰缝宽度分别宜为15mm和20mm。</w:t>
            </w:r>
          </w:p>
        </w:tc>
      </w:tr>
      <w:tr w14:paraId="51170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561" w:type="dxa"/>
            <w:tcBorders>
              <w:top w:val="single" w:color="auto" w:sz="4" w:space="0"/>
              <w:left w:val="single" w:color="auto" w:sz="4" w:space="0"/>
              <w:bottom w:val="single" w:color="auto" w:sz="4" w:space="0"/>
              <w:right w:val="single" w:color="auto" w:sz="4" w:space="0"/>
            </w:tcBorders>
            <w:vAlign w:val="center"/>
          </w:tcPr>
          <w:p w14:paraId="0812B08D">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11</w:t>
            </w:r>
          </w:p>
        </w:tc>
        <w:tc>
          <w:tcPr>
            <w:tcW w:w="1681" w:type="dxa"/>
            <w:tcBorders>
              <w:top w:val="single" w:color="auto" w:sz="4" w:space="0"/>
              <w:left w:val="single" w:color="auto" w:sz="4" w:space="0"/>
              <w:bottom w:val="single" w:color="auto" w:sz="4" w:space="0"/>
              <w:right w:val="single" w:color="auto" w:sz="4" w:space="0"/>
            </w:tcBorders>
            <w:vAlign w:val="center"/>
          </w:tcPr>
          <w:p w14:paraId="500BC3F3">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梁底砌法</w:t>
            </w:r>
          </w:p>
        </w:tc>
        <w:tc>
          <w:tcPr>
            <w:tcW w:w="6224" w:type="dxa"/>
            <w:tcBorders>
              <w:top w:val="single" w:color="auto" w:sz="4" w:space="0"/>
              <w:left w:val="single" w:color="auto" w:sz="4" w:space="0"/>
              <w:bottom w:val="single" w:color="auto" w:sz="4" w:space="0"/>
              <w:right w:val="single" w:color="auto" w:sz="4" w:space="0"/>
            </w:tcBorders>
            <w:vAlign w:val="center"/>
          </w:tcPr>
          <w:p w14:paraId="6E6919FD">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填充墙砌至接近梁、板底时，应留一定空隙，待填充墙砌筑完并应至少间隔14天后，再将其补砌挤紧。</w:t>
            </w:r>
          </w:p>
        </w:tc>
      </w:tr>
      <w:tr w14:paraId="164C3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1" w:type="dxa"/>
            <w:tcBorders>
              <w:top w:val="single" w:color="auto" w:sz="4" w:space="0"/>
              <w:left w:val="single" w:color="auto" w:sz="4" w:space="0"/>
              <w:bottom w:val="single" w:color="auto" w:sz="4" w:space="0"/>
              <w:right w:val="single" w:color="auto" w:sz="4" w:space="0"/>
            </w:tcBorders>
            <w:vAlign w:val="center"/>
          </w:tcPr>
          <w:p w14:paraId="7AA1C924">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12</w:t>
            </w:r>
          </w:p>
        </w:tc>
        <w:tc>
          <w:tcPr>
            <w:tcW w:w="1681" w:type="dxa"/>
            <w:tcBorders>
              <w:top w:val="single" w:color="auto" w:sz="4" w:space="0"/>
              <w:left w:val="single" w:color="auto" w:sz="4" w:space="0"/>
              <w:bottom w:val="single" w:color="auto" w:sz="4" w:space="0"/>
              <w:right w:val="single" w:color="auto" w:sz="4" w:space="0"/>
            </w:tcBorders>
            <w:vAlign w:val="center"/>
          </w:tcPr>
          <w:p w14:paraId="2BAE6004">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修补</w:t>
            </w:r>
          </w:p>
        </w:tc>
        <w:tc>
          <w:tcPr>
            <w:tcW w:w="6224" w:type="dxa"/>
            <w:tcBorders>
              <w:top w:val="single" w:color="auto" w:sz="4" w:space="0"/>
              <w:left w:val="single" w:color="auto" w:sz="4" w:space="0"/>
              <w:bottom w:val="single" w:color="auto" w:sz="4" w:space="0"/>
              <w:right w:val="single" w:color="auto" w:sz="4" w:space="0"/>
            </w:tcBorders>
            <w:vAlign w:val="center"/>
          </w:tcPr>
          <w:p w14:paraId="5BA64FB2">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修补需经过招标人书面同意后按照修补方案及时进行修补，投标人未能及时按要求进行修补进行1000元/次罚款。</w:t>
            </w:r>
          </w:p>
        </w:tc>
      </w:tr>
    </w:tbl>
    <w:p w14:paraId="05AB7703">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①．砖砌体日砌筑高度不应超过一步脚手架或1.5m，如达不到要求，砖砌体拆掉返工，除给予100元/平方米的罚款外，劳务分包承担拆除及返工的材料费用。</w:t>
      </w:r>
    </w:p>
    <w:p w14:paraId="1E016A56">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2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②</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．砌筑前，应对砌块浇水湿润，否则每发现一次给予500元的罚款。</w:t>
      </w:r>
    </w:p>
    <w:p w14:paraId="37591A38">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3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③</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．砌体灰缝的砂浆饱满度必须符合规范要求，不得有透明缝、瞎缝、假缝等质量问题，如达不到要求予以50元/平方米的罚款。</w:t>
      </w:r>
    </w:p>
    <w:p w14:paraId="704F99ED">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4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④</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 xml:space="preserve">．砖砌体应以水平线排分皮数杆，第一批砖底如灰缝偏厚，底部用细混凝土或高标号砂浆找平，若达不到规范要求给予 20 元/处的罚款。 </w:t>
      </w:r>
    </w:p>
    <w:p w14:paraId="38D11328">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5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⑤</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．丁字墙、十字墙、 “L”字墙等特殊部位没有严格按照要求搭砌的，给予 200 元/处的罚款</w:t>
      </w:r>
    </w:p>
    <w:p w14:paraId="47D8BB53">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⑥．构造柱的钢筋必须按照图纸要求设置，纵向受力钢筋根部和顶部（板底）没有植筋 或搭接长度不足就进行隐蔽的，一经发现，给予 300 元/处的罚款。</w:t>
      </w:r>
    </w:p>
    <w:p w14:paraId="6097382A">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 xml:space="preserve">⑦．构造柱浇灌混凝土前，必须将砌体留槎部位和模板浇水湿润，将模板内的落地灰，砖渣 和其它杂物清理干净，若达不到规范要求给予 100元/处的罚款。 </w:t>
      </w:r>
    </w:p>
    <w:p w14:paraId="24529B5F">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 xml:space="preserve">⑧．填充墙砌至接近梁、板底时，应按方案要求留一定空隙，待墙体砌筑完并应至少间 隔 7 天后再进行其补砌挤紧，若达不到要求给予 30 元/米的罚款。 </w:t>
      </w:r>
    </w:p>
    <w:p w14:paraId="101F4582">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 xml:space="preserve">⑨．门窗洞口过梁必须满足设计及规范要求。 </w:t>
      </w:r>
    </w:p>
    <w:p w14:paraId="1ABA5655">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 xml:space="preserve">1） 现浇过梁的罚款条例按第四节相关条款执行。 </w:t>
      </w:r>
    </w:p>
    <w:p w14:paraId="798EC701">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2） 预制过梁的几何尺寸和方案要求的偏差值大于 10mm 以上的，给予30 元/米的罚款；</w:t>
      </w:r>
    </w:p>
    <w:p w14:paraId="7575602E">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3）过梁混凝土有蜂窝、麻面、平整度差等问题，给予 30 元/米的罚款。</w:t>
      </w:r>
    </w:p>
    <w:p w14:paraId="32F7B76D">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 xml:space="preserve">4）砌体根部没有按照图纸、方案要求砌筑实心砖、浇筑混凝土挡水坎的，给予 50 元/米的罚款。 </w:t>
      </w:r>
    </w:p>
    <w:p w14:paraId="6444AE08">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16.3</w:t>
      </w:r>
      <w:r>
        <w:rPr>
          <w:rFonts w:hint="eastAsia" w:hAnsi="宋体" w:cs="宋体"/>
          <w:color w:val="auto"/>
          <w:kern w:val="2"/>
          <w:sz w:val="28"/>
          <w:szCs w:val="28"/>
          <w:lang w:bidi="ar"/>
        </w:rPr>
        <w:t>一般抹灰工程质量检验奖罚标准：抹灰工程质量应符合《建筑装饰装修工程质量验收标准GB 50210-2018》 《抹灰砂浆技术规程  JGJ/T220-2010》中的要求。</w:t>
      </w:r>
    </w:p>
    <w:tbl>
      <w:tblPr>
        <w:tblStyle w:val="5"/>
        <w:tblW w:w="8505" w:type="dxa"/>
        <w:tblInd w:w="39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2"/>
        <w:gridCol w:w="7843"/>
      </w:tblGrid>
      <w:tr w14:paraId="4856E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5" w:type="dxa"/>
            <w:gridSpan w:val="2"/>
            <w:tcBorders>
              <w:top w:val="single" w:color="auto" w:sz="4" w:space="0"/>
              <w:left w:val="single" w:color="auto" w:sz="4" w:space="0"/>
              <w:bottom w:val="single" w:color="auto" w:sz="4" w:space="0"/>
              <w:right w:val="single" w:color="auto" w:sz="4" w:space="0"/>
            </w:tcBorders>
            <w:vAlign w:val="center"/>
          </w:tcPr>
          <w:p w14:paraId="39D55627">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质量验收规范的规定</w:t>
            </w:r>
          </w:p>
        </w:tc>
      </w:tr>
      <w:tr w14:paraId="79648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2" w:type="dxa"/>
            <w:tcBorders>
              <w:top w:val="single" w:color="auto" w:sz="4" w:space="0"/>
              <w:left w:val="single" w:color="auto" w:sz="4" w:space="0"/>
              <w:bottom w:val="single" w:color="auto" w:sz="4" w:space="0"/>
              <w:right w:val="single" w:color="auto" w:sz="4" w:space="0"/>
            </w:tcBorders>
            <w:vAlign w:val="center"/>
          </w:tcPr>
          <w:p w14:paraId="494B1985">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1</w:t>
            </w:r>
          </w:p>
        </w:tc>
        <w:tc>
          <w:tcPr>
            <w:tcW w:w="7843" w:type="dxa"/>
            <w:tcBorders>
              <w:top w:val="single" w:color="auto" w:sz="4" w:space="0"/>
              <w:left w:val="single" w:color="auto" w:sz="4" w:space="0"/>
              <w:bottom w:val="single" w:color="auto" w:sz="4" w:space="0"/>
              <w:right w:val="single" w:color="auto" w:sz="4" w:space="0"/>
            </w:tcBorders>
            <w:vAlign w:val="center"/>
          </w:tcPr>
          <w:p w14:paraId="611EE5D8">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抹灰前基层表面的尘土、污垢、油渍等应清除干净，并应洒水润湿。</w:t>
            </w:r>
          </w:p>
        </w:tc>
      </w:tr>
      <w:tr w14:paraId="4F666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2" w:type="dxa"/>
            <w:tcBorders>
              <w:top w:val="single" w:color="auto" w:sz="4" w:space="0"/>
              <w:left w:val="single" w:color="auto" w:sz="4" w:space="0"/>
              <w:bottom w:val="single" w:color="auto" w:sz="4" w:space="0"/>
              <w:right w:val="single" w:color="auto" w:sz="4" w:space="0"/>
            </w:tcBorders>
            <w:vAlign w:val="center"/>
          </w:tcPr>
          <w:p w14:paraId="2116B499">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2</w:t>
            </w:r>
          </w:p>
        </w:tc>
        <w:tc>
          <w:tcPr>
            <w:tcW w:w="7843" w:type="dxa"/>
            <w:tcBorders>
              <w:top w:val="single" w:color="auto" w:sz="4" w:space="0"/>
              <w:left w:val="single" w:color="auto" w:sz="4" w:space="0"/>
              <w:bottom w:val="single" w:color="auto" w:sz="4" w:space="0"/>
              <w:right w:val="single" w:color="auto" w:sz="4" w:space="0"/>
            </w:tcBorders>
            <w:vAlign w:val="center"/>
          </w:tcPr>
          <w:p w14:paraId="7F1B24F9">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一般抹灰所用材料的品种和性能应符合设计要求。水泥的凝结时间和安定性复验应合格。砂浆的配合比应符合设计要求。</w:t>
            </w:r>
          </w:p>
        </w:tc>
      </w:tr>
      <w:tr w14:paraId="5D72D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2" w:type="dxa"/>
            <w:tcBorders>
              <w:top w:val="single" w:color="auto" w:sz="4" w:space="0"/>
              <w:left w:val="single" w:color="auto" w:sz="4" w:space="0"/>
              <w:bottom w:val="single" w:color="auto" w:sz="4" w:space="0"/>
              <w:right w:val="single" w:color="auto" w:sz="4" w:space="0"/>
            </w:tcBorders>
            <w:vAlign w:val="center"/>
          </w:tcPr>
          <w:p w14:paraId="2724CE13">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3</w:t>
            </w:r>
          </w:p>
        </w:tc>
        <w:tc>
          <w:tcPr>
            <w:tcW w:w="7843" w:type="dxa"/>
            <w:tcBorders>
              <w:top w:val="single" w:color="auto" w:sz="4" w:space="0"/>
              <w:left w:val="single" w:color="auto" w:sz="4" w:space="0"/>
              <w:bottom w:val="single" w:color="auto" w:sz="4" w:space="0"/>
              <w:right w:val="single" w:color="auto" w:sz="4" w:space="0"/>
            </w:tcBorders>
            <w:vAlign w:val="center"/>
          </w:tcPr>
          <w:p w14:paraId="4A028345">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抹灰工程应分层进行。当抹灰总厚度大于或等于35mm时，应采取加强措施。不同材料基体交接处表面的抹灰，应采取防止开裂的加强措施。当采用加强网时，加强网与各基体的搭接宽度不小于100mm。</w:t>
            </w:r>
          </w:p>
        </w:tc>
      </w:tr>
      <w:tr w14:paraId="744CF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2" w:type="dxa"/>
            <w:tcBorders>
              <w:top w:val="single" w:color="auto" w:sz="4" w:space="0"/>
              <w:left w:val="single" w:color="auto" w:sz="4" w:space="0"/>
              <w:bottom w:val="single" w:color="auto" w:sz="4" w:space="0"/>
              <w:right w:val="single" w:color="auto" w:sz="4" w:space="0"/>
            </w:tcBorders>
            <w:vAlign w:val="center"/>
          </w:tcPr>
          <w:p w14:paraId="1A73FE0A">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4</w:t>
            </w:r>
          </w:p>
        </w:tc>
        <w:tc>
          <w:tcPr>
            <w:tcW w:w="7843" w:type="dxa"/>
            <w:tcBorders>
              <w:top w:val="single" w:color="auto" w:sz="4" w:space="0"/>
              <w:left w:val="single" w:color="auto" w:sz="4" w:space="0"/>
              <w:bottom w:val="single" w:color="auto" w:sz="4" w:space="0"/>
              <w:right w:val="single" w:color="auto" w:sz="4" w:space="0"/>
            </w:tcBorders>
            <w:vAlign w:val="center"/>
          </w:tcPr>
          <w:p w14:paraId="6EE57882">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抹灰层与基层之间及各抹灰层之间必须粘结牢固，抹灰层应无脱落、空鼓、面层应无爆灰和裂缝。</w:t>
            </w:r>
          </w:p>
        </w:tc>
      </w:tr>
      <w:tr w14:paraId="766F6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2" w:type="dxa"/>
            <w:tcBorders>
              <w:top w:val="single" w:color="auto" w:sz="4" w:space="0"/>
              <w:left w:val="single" w:color="auto" w:sz="4" w:space="0"/>
              <w:bottom w:val="single" w:color="auto" w:sz="4" w:space="0"/>
              <w:right w:val="single" w:color="auto" w:sz="4" w:space="0"/>
            </w:tcBorders>
            <w:vAlign w:val="center"/>
          </w:tcPr>
          <w:p w14:paraId="481B00E2">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5</w:t>
            </w:r>
          </w:p>
        </w:tc>
        <w:tc>
          <w:tcPr>
            <w:tcW w:w="7843" w:type="dxa"/>
            <w:tcBorders>
              <w:top w:val="single" w:color="auto" w:sz="4" w:space="0"/>
              <w:left w:val="single" w:color="auto" w:sz="4" w:space="0"/>
              <w:bottom w:val="single" w:color="auto" w:sz="4" w:space="0"/>
              <w:right w:val="single" w:color="auto" w:sz="4" w:space="0"/>
            </w:tcBorders>
            <w:vAlign w:val="center"/>
          </w:tcPr>
          <w:p w14:paraId="4EFDB757">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一般抹灰工程的表面质量应符合下列规定：普通抹灰表面应光滑、洁净、接槎平整，分格缝应清晰；高级抹灰表面应光滑、洁净、颜色均匀、无抹纹，分格缝和灰线应清晰美观。</w:t>
            </w:r>
          </w:p>
        </w:tc>
      </w:tr>
      <w:tr w14:paraId="0C159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2" w:type="dxa"/>
            <w:tcBorders>
              <w:top w:val="single" w:color="auto" w:sz="4" w:space="0"/>
              <w:left w:val="single" w:color="auto" w:sz="4" w:space="0"/>
              <w:bottom w:val="single" w:color="auto" w:sz="4" w:space="0"/>
              <w:right w:val="single" w:color="auto" w:sz="4" w:space="0"/>
            </w:tcBorders>
            <w:vAlign w:val="center"/>
          </w:tcPr>
          <w:p w14:paraId="2B7296F9">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6</w:t>
            </w:r>
          </w:p>
        </w:tc>
        <w:tc>
          <w:tcPr>
            <w:tcW w:w="7843" w:type="dxa"/>
            <w:tcBorders>
              <w:top w:val="single" w:color="auto" w:sz="4" w:space="0"/>
              <w:left w:val="single" w:color="auto" w:sz="4" w:space="0"/>
              <w:bottom w:val="single" w:color="auto" w:sz="4" w:space="0"/>
              <w:right w:val="single" w:color="auto" w:sz="4" w:space="0"/>
            </w:tcBorders>
            <w:vAlign w:val="center"/>
          </w:tcPr>
          <w:p w14:paraId="661699C2">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护角、孔洞、槽、盒周围的抹灰表面应整齐、光滑；管道后面的抹灰表面应平整。</w:t>
            </w:r>
          </w:p>
        </w:tc>
      </w:tr>
      <w:tr w14:paraId="60271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2" w:type="dxa"/>
            <w:tcBorders>
              <w:top w:val="single" w:color="auto" w:sz="4" w:space="0"/>
              <w:left w:val="single" w:color="auto" w:sz="4" w:space="0"/>
              <w:bottom w:val="single" w:color="auto" w:sz="4" w:space="0"/>
              <w:right w:val="single" w:color="auto" w:sz="4" w:space="0"/>
            </w:tcBorders>
            <w:vAlign w:val="center"/>
          </w:tcPr>
          <w:p w14:paraId="33368DC2">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7</w:t>
            </w:r>
          </w:p>
        </w:tc>
        <w:tc>
          <w:tcPr>
            <w:tcW w:w="7843" w:type="dxa"/>
            <w:tcBorders>
              <w:top w:val="single" w:color="auto" w:sz="4" w:space="0"/>
              <w:left w:val="single" w:color="auto" w:sz="4" w:space="0"/>
              <w:bottom w:val="single" w:color="auto" w:sz="4" w:space="0"/>
              <w:right w:val="single" w:color="auto" w:sz="4" w:space="0"/>
            </w:tcBorders>
            <w:vAlign w:val="center"/>
          </w:tcPr>
          <w:p w14:paraId="4EE91DBF">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抹灰层的总厚度应符合设计要求；水泥砂浆不得抹在石灰砂浆层上；罩面石膏灰不得抹在水泥砂浆层上。</w:t>
            </w:r>
          </w:p>
        </w:tc>
      </w:tr>
      <w:tr w14:paraId="27DA6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2" w:type="dxa"/>
            <w:tcBorders>
              <w:top w:val="single" w:color="auto" w:sz="4" w:space="0"/>
              <w:left w:val="single" w:color="auto" w:sz="4" w:space="0"/>
              <w:bottom w:val="single" w:color="auto" w:sz="4" w:space="0"/>
              <w:right w:val="single" w:color="auto" w:sz="4" w:space="0"/>
            </w:tcBorders>
            <w:vAlign w:val="center"/>
          </w:tcPr>
          <w:p w14:paraId="5616DF83">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8</w:t>
            </w:r>
          </w:p>
        </w:tc>
        <w:tc>
          <w:tcPr>
            <w:tcW w:w="7843" w:type="dxa"/>
            <w:tcBorders>
              <w:top w:val="single" w:color="auto" w:sz="4" w:space="0"/>
              <w:left w:val="single" w:color="auto" w:sz="4" w:space="0"/>
              <w:bottom w:val="single" w:color="auto" w:sz="4" w:space="0"/>
              <w:right w:val="single" w:color="auto" w:sz="4" w:space="0"/>
            </w:tcBorders>
            <w:vAlign w:val="center"/>
          </w:tcPr>
          <w:p w14:paraId="468999B4">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抹灰分格缝的设置应符合设计要求，宽度和深度应均匀，表面应光滑，棱角应整齐。</w:t>
            </w:r>
          </w:p>
        </w:tc>
      </w:tr>
      <w:tr w14:paraId="49E50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2" w:type="dxa"/>
            <w:tcBorders>
              <w:top w:val="single" w:color="auto" w:sz="4" w:space="0"/>
              <w:left w:val="single" w:color="auto" w:sz="4" w:space="0"/>
              <w:bottom w:val="single" w:color="auto" w:sz="4" w:space="0"/>
              <w:right w:val="single" w:color="auto" w:sz="4" w:space="0"/>
            </w:tcBorders>
            <w:vAlign w:val="center"/>
          </w:tcPr>
          <w:p w14:paraId="00509772">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9</w:t>
            </w:r>
          </w:p>
        </w:tc>
        <w:tc>
          <w:tcPr>
            <w:tcW w:w="7843" w:type="dxa"/>
            <w:tcBorders>
              <w:top w:val="single" w:color="auto" w:sz="4" w:space="0"/>
              <w:left w:val="single" w:color="auto" w:sz="4" w:space="0"/>
              <w:bottom w:val="single" w:color="auto" w:sz="4" w:space="0"/>
              <w:right w:val="single" w:color="auto" w:sz="4" w:space="0"/>
            </w:tcBorders>
            <w:vAlign w:val="center"/>
          </w:tcPr>
          <w:p w14:paraId="2ECEAD8F">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有排水要求的部位应做滴水线（槽）。滴水线（槽）应整齐顺直，滴水线应内高外低，滴水槽的宽度和深度均不应小于10mm。</w:t>
            </w:r>
          </w:p>
        </w:tc>
      </w:tr>
    </w:tbl>
    <w:p w14:paraId="71A9F92B">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20C8E062">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5554C985">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30C3DCD1">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64FB0E2C">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0E5B9C6F">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6B8CF7C2">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1A09B87A">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01F6E27C">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775B716E">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0A1B869F">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5D083D54">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2025A8DE">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5FCC0EF5">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3266C3B1">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2B6E2C5A">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3CA84460">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1E53DBE3">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1227521C">
      <w:pPr>
        <w:keepNext w:val="0"/>
        <w:keepLines w:val="0"/>
        <w:pageBreakBefore w:val="0"/>
        <w:widowControl w:val="0"/>
        <w:kinsoku/>
        <w:wordWrap/>
        <w:overflowPunct/>
        <w:topLinePunct w:val="0"/>
        <w:autoSpaceDE/>
        <w:autoSpaceDN/>
        <w:bidi w:val="0"/>
        <w:spacing w:line="240" w:lineRule="auto"/>
        <w:ind w:firstLine="480" w:firstLineChars="200"/>
        <w:jc w:val="both"/>
        <w:textAlignment w:val="auto"/>
        <w:rPr>
          <w:rFonts w:hint="eastAsia" w:hAnsi="宋体" w:cs="宋体"/>
          <w:color w:val="auto"/>
          <w:kern w:val="2"/>
          <w:sz w:val="28"/>
          <w:szCs w:val="28"/>
          <w:lang w:bidi="ar"/>
        </w:rPr>
      </w:pPr>
      <w:r>
        <w:rPr>
          <w:color w:val="auto"/>
        </w:rPr>
        <w:drawing>
          <wp:anchor distT="0" distB="0" distL="114300" distR="114300" simplePos="0" relativeHeight="251659264" behindDoc="1" locked="0" layoutInCell="1" allowOverlap="1">
            <wp:simplePos x="0" y="0"/>
            <wp:positionH relativeFrom="column">
              <wp:posOffset>-92075</wp:posOffset>
            </wp:positionH>
            <wp:positionV relativeFrom="paragraph">
              <wp:posOffset>-688975</wp:posOffset>
            </wp:positionV>
            <wp:extent cx="5456555" cy="5215255"/>
            <wp:effectExtent l="0" t="0" r="5715" b="9525"/>
            <wp:wrapNone/>
            <wp:docPr id="4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1"/>
                    <pic:cNvPicPr>
                      <a:picLocks noChangeAspect="1"/>
                    </pic:cNvPicPr>
                  </pic:nvPicPr>
                  <pic:blipFill>
                    <a:blip r:embed="rId4"/>
                    <a:stretch>
                      <a:fillRect/>
                    </a:stretch>
                  </pic:blipFill>
                  <pic:spPr>
                    <a:xfrm>
                      <a:off x="0" y="0"/>
                      <a:ext cx="5456555" cy="5215255"/>
                    </a:xfrm>
                    <a:prstGeom prst="rect">
                      <a:avLst/>
                    </a:prstGeom>
                    <a:noFill/>
                    <a:ln>
                      <a:noFill/>
                    </a:ln>
                  </pic:spPr>
                </pic:pic>
              </a:graphicData>
            </a:graphic>
          </wp:anchor>
        </w:drawing>
      </w:r>
    </w:p>
    <w:p w14:paraId="0985A9F5">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67D5CECE">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106B9486">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0A2D8A70">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10248F2E">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65959CCB">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p>
    <w:p w14:paraId="062EBD87">
      <w:pPr>
        <w:pStyle w:val="2"/>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p>
    <w:p w14:paraId="465A39DC">
      <w:pPr>
        <w:pStyle w:val="2"/>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p>
    <w:p w14:paraId="3E3F9DE5">
      <w:pPr>
        <w:pStyle w:val="2"/>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p>
    <w:p w14:paraId="42059C7C">
      <w:pPr>
        <w:pStyle w:val="2"/>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p>
    <w:p w14:paraId="0C8E269B">
      <w:pPr>
        <w:pStyle w:val="2"/>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p>
    <w:p w14:paraId="729BC983">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1C14BC52">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34E2760A">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3238B6A5">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p>
    <w:p w14:paraId="37AD03B8">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①．基层处理应无灰尘、无油腻，混凝土墙面要毛面处理到位，若不到位给予 10 元/平方米的罚款。 抹灰时应提前对基层洒水湿润，若直接抹灰则给予 10 元/平方米的罚款。</w:t>
      </w:r>
    </w:p>
    <w:p w14:paraId="037479DF">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室内墙面、柱面和门洞口阳角应用 1:2 水泥砂浆（具体配合比见图纸）做护角， 其高度不应低于 2m，每侧宽度不应小于 50mm，若达不到要求给予 20 元/处的罚款。</w:t>
      </w:r>
    </w:p>
    <w:p w14:paraId="26741331">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2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②</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．抹灰层与基层之间及各抹灰层之间必须粘结牢固，抹灰层应无脆层、空鼓，面层应 无爆灰和裂缝，若达不到规范要求给予 30 元/平方米的罚款。抹灰层厚度应符合设计要求，若达不到规范要求给予 10 元/平方米的罚款。抹灰表面应平整、光滑、洁净、颜色均匀，抹灰分格缝和灰线应清晰美观；墙面平整度、垂直度超出规范的给予 50-100 元/处的罚款。墙面观感差、掉砂、泛白，给予 50 元/平方米的罚款。</w:t>
      </w:r>
    </w:p>
    <w:p w14:paraId="4E10F499">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3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③</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．墙面抹灰层采取加强措施时，没有搭接或者搭接长度不足的部位，给予 5 元/米的罚款；不同材质交接处搭接长度不足的给予 10/米的罚款；固定钢网的钉子的规格、间距不满足方案要求， 给予 20 元/平方米的罚款；没有挂网就擅自抹灰的，给予 100 元/平方米的罚款。</w:t>
      </w:r>
    </w:p>
    <w:p w14:paraId="7B847B74">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4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④</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 xml:space="preserve">．门窗洞口、预留洞口在抹灰后的尺寸必须符合图纸要求，偏差超出规范要求导致门 窗无法安装的，给予 50~100 元/处的罚款。墙面如出现线盒不方正等问题，给予 20 元/个的罚款。 有排水要求的部位应做滴水线（槽）应整齐顺直，滴水线应内高外低，滴水槽宽度 和深度应均匀，表面应光滑，棱角应整齐，若达不到规范要求给予 10 元/米的罚款。 </w:t>
      </w:r>
    </w:p>
    <w:p w14:paraId="2481043C">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5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⑤</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 xml:space="preserve">．室内抹灰阴角要顺直，三角交点要清晰，阴阳角要方正，若达不到要求给予 10 元/ 条的罚款。 </w:t>
      </w:r>
    </w:p>
    <w:p w14:paraId="048C2547">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6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⑥</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．每层（基层、中层、面层）抹灰厚度不应超过规范和规程规定的厚度，当抹灰总厚 度大于或等于 35mm 时必须用网片进行加强，严禁一遍成活，灰层不可跟得太紧，抹灰层施工完后，夏季 高温要及时喷水养护，若达不到要求给予 20 元/平方米的罚款。</w:t>
      </w:r>
    </w:p>
    <w:p w14:paraId="0F7EC01B">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7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⑦</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 xml:space="preserve">．混凝土梁、墙、柱及图纸、方案要求的部位的基层宜采用凿毛毛化或混凝土界面剂处理，也 可用 1：1 水泥砂浆拉毛或喷浆进行毛化处理并喷水养护，确保基层和粉刷层的结合，墙面抹灰前认真做 好基层处理和浇水湿润工作，混凝土面的隔离剂及杂物清理干净，若达不到要求给予 10 元/平方米的罚款。 </w:t>
      </w:r>
    </w:p>
    <w:p w14:paraId="0C9C7ED7">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8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⑧</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．外墙穿墙螺杆洞漏堵一个给予 20 元/个的罚款，堵洞眼空鼓给予 5 元/个的罚款； 将杆洞凿成深度约 20mm 的喇叭状，达不到要求的返工重凿，并给予 10 元/个的罚款。 顶棚挂腻子必须弹水平线，基层要修补整并清理干净，若达不到要求给予 200 元/ 处的罚款。</w:t>
      </w:r>
      <w:r>
        <w:rPr>
          <w:rFonts w:hint="eastAsia" w:hAnsi="宋体" w:cs="宋体"/>
          <w:color w:val="auto"/>
          <w:kern w:val="2"/>
          <w:sz w:val="28"/>
          <w:szCs w:val="28"/>
          <w:lang w:bidi="ar"/>
        </w:rPr>
        <w:tab/>
      </w:r>
    </w:p>
    <w:p w14:paraId="6ABAA5F7">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color w:val="auto"/>
          <w:sz w:val="28"/>
          <w:szCs w:val="28"/>
        </w:rPr>
      </w:pPr>
      <w:r>
        <w:rPr>
          <w:rFonts w:hint="eastAsia"/>
          <w:color w:val="auto"/>
          <w:sz w:val="28"/>
          <w:szCs w:val="28"/>
        </w:rPr>
        <w:t>注：综合单价包括以上所有内容，投标人综合考虑。</w:t>
      </w:r>
    </w:p>
    <w:p w14:paraId="157DE6D9">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color w:val="auto"/>
          <w:sz w:val="28"/>
          <w:szCs w:val="28"/>
        </w:rPr>
      </w:pPr>
      <w:r>
        <w:rPr>
          <w:rFonts w:hint="eastAsia"/>
          <w:color w:val="auto"/>
          <w:sz w:val="28"/>
          <w:szCs w:val="28"/>
          <w:lang w:val="en-US" w:eastAsia="zh-CN"/>
        </w:rPr>
        <w:t>16.5</w:t>
      </w:r>
      <w:r>
        <w:rPr>
          <w:rFonts w:hint="eastAsia"/>
          <w:color w:val="auto"/>
          <w:sz w:val="28"/>
          <w:szCs w:val="28"/>
        </w:rPr>
        <w:t>附相应工程做法图示</w:t>
      </w:r>
    </w:p>
    <w:p w14:paraId="1A0DDED0">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b/>
          <w:bCs/>
          <w:color w:val="auto"/>
        </w:rPr>
      </w:pPr>
      <w:r>
        <w:rPr>
          <w:rFonts w:hint="eastAsia"/>
          <w:b/>
          <w:bCs/>
          <w:color w:val="auto"/>
        </w:rPr>
        <w:t>（1）</w:t>
      </w:r>
      <w:r>
        <w:rPr>
          <w:b/>
          <w:bCs/>
          <w:color w:val="auto"/>
        </w:rPr>
        <w:t>梁底、板面清理</w:t>
      </w:r>
    </w:p>
    <w:p w14:paraId="21298C15">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color w:val="auto"/>
        </w:rPr>
        <w:drawing>
          <wp:inline distT="0" distB="0" distL="0" distR="0">
            <wp:extent cx="2700020" cy="2077085"/>
            <wp:effectExtent l="0" t="0" r="9525" b="6350"/>
            <wp:docPr id="795" name="image339.jpeg" descr="DSCF18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5" name="image339.jpeg" descr="DSCF1824.JPG"/>
                    <pic:cNvPicPr>
                      <a:picLocks noChangeAspect="1"/>
                    </pic:cNvPicPr>
                  </pic:nvPicPr>
                  <pic:blipFill>
                    <a:blip r:embed="rId5" cstate="print"/>
                    <a:stretch>
                      <a:fillRect/>
                    </a:stretch>
                  </pic:blipFill>
                  <pic:spPr>
                    <a:xfrm>
                      <a:off x="0" y="0"/>
                      <a:ext cx="2700020" cy="2077085"/>
                    </a:xfrm>
                    <a:prstGeom prst="rect">
                      <a:avLst/>
                    </a:prstGeom>
                  </pic:spPr>
                </pic:pic>
              </a:graphicData>
            </a:graphic>
          </wp:inline>
        </w:drawing>
      </w:r>
    </w:p>
    <w:p w14:paraId="51EFD626">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rFonts w:hint="eastAsia"/>
          <w:color w:val="auto"/>
        </w:rPr>
        <w:t>（2）</w:t>
      </w:r>
      <w:r>
        <w:rPr>
          <w:color w:val="auto"/>
        </w:rPr>
        <w:t>为防止墙柱模板下口漏浆导致墙柱烂根，墙柱模板下口提前一天用砂浆封堵</w:t>
      </w:r>
    </w:p>
    <w:p w14:paraId="78F74572">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color w:val="auto"/>
        </w:rPr>
        <w:drawing>
          <wp:inline distT="0" distB="0" distL="0" distR="0">
            <wp:extent cx="2700020" cy="1835785"/>
            <wp:effectExtent l="0" t="0" r="9525" b="10160"/>
            <wp:docPr id="805" name="image3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 name="image343.jpeg"/>
                    <pic:cNvPicPr>
                      <a:picLocks noChangeAspect="1"/>
                    </pic:cNvPicPr>
                  </pic:nvPicPr>
                  <pic:blipFill>
                    <a:blip r:embed="rId6" cstate="print"/>
                    <a:stretch>
                      <a:fillRect/>
                    </a:stretch>
                  </pic:blipFill>
                  <pic:spPr>
                    <a:xfrm>
                      <a:off x="0" y="0"/>
                      <a:ext cx="2700020" cy="1835785"/>
                    </a:xfrm>
                    <a:prstGeom prst="rect">
                      <a:avLst/>
                    </a:prstGeom>
                  </pic:spPr>
                </pic:pic>
              </a:graphicData>
            </a:graphic>
          </wp:inline>
        </w:drawing>
      </w:r>
    </w:p>
    <w:p w14:paraId="413017DB">
      <w:pPr>
        <w:keepNext w:val="0"/>
        <w:keepLines w:val="0"/>
        <w:pageBreakBefore w:val="0"/>
        <w:widowControl w:val="0"/>
        <w:kinsoku/>
        <w:wordWrap/>
        <w:overflowPunct/>
        <w:topLinePunct w:val="0"/>
        <w:autoSpaceDE/>
        <w:autoSpaceDN/>
        <w:bidi w:val="0"/>
        <w:spacing w:line="240" w:lineRule="auto"/>
        <w:jc w:val="both"/>
        <w:textAlignment w:val="auto"/>
        <w:rPr>
          <w:color w:val="auto"/>
        </w:rPr>
      </w:pPr>
      <w:r>
        <w:rPr>
          <w:rFonts w:hint="eastAsia"/>
          <w:color w:val="auto"/>
        </w:rPr>
        <w:t>（3）</w:t>
      </w:r>
      <w:r>
        <w:rPr>
          <w:color w:val="auto"/>
        </w:rPr>
        <w:t>钢筋三角架，浇筑时配合刮尺使用，控制楼板厚度、平整度。在混凝土收平后可取出，间≤1.8m。使用插钎法控制板厚，并采用 2m 铝合金刮尺刮平，控制楼板平整度。</w:t>
      </w:r>
    </w:p>
    <w:p w14:paraId="6D1006B2">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p>
    <w:p w14:paraId="1ADDC836">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color w:val="auto"/>
        </w:rPr>
        <w:drawing>
          <wp:inline distT="0" distB="0" distL="0" distR="0">
            <wp:extent cx="2700020" cy="1979295"/>
            <wp:effectExtent l="0" t="0" r="9525" b="6985"/>
            <wp:docPr id="831" name="image3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 name="image354.jpeg"/>
                    <pic:cNvPicPr>
                      <a:picLocks noChangeAspect="1"/>
                    </pic:cNvPicPr>
                  </pic:nvPicPr>
                  <pic:blipFill>
                    <a:blip r:embed="rId7" cstate="print"/>
                    <a:stretch>
                      <a:fillRect/>
                    </a:stretch>
                  </pic:blipFill>
                  <pic:spPr>
                    <a:xfrm>
                      <a:off x="0" y="0"/>
                      <a:ext cx="2700020" cy="1979295"/>
                    </a:xfrm>
                    <a:prstGeom prst="rect">
                      <a:avLst/>
                    </a:prstGeom>
                  </pic:spPr>
                </pic:pic>
              </a:graphicData>
            </a:graphic>
          </wp:inline>
        </w:drawing>
      </w:r>
      <w:r>
        <w:rPr>
          <w:rFonts w:hint="eastAsia"/>
          <w:color w:val="auto"/>
        </w:rPr>
        <w:t xml:space="preserve"> </w:t>
      </w:r>
      <w:r>
        <w:rPr>
          <w:color w:val="auto"/>
        </w:rPr>
        <w:drawing>
          <wp:inline distT="0" distB="0" distL="0" distR="0">
            <wp:extent cx="2700020" cy="1981835"/>
            <wp:effectExtent l="0" t="0" r="9525" b="4445"/>
            <wp:docPr id="835" name="image356.jpeg"/>
            <wp:cNvGraphicFramePr/>
            <a:graphic xmlns:a="http://schemas.openxmlformats.org/drawingml/2006/main">
              <a:graphicData uri="http://schemas.openxmlformats.org/drawingml/2006/picture">
                <pic:pic xmlns:pic="http://schemas.openxmlformats.org/drawingml/2006/picture">
                  <pic:nvPicPr>
                    <pic:cNvPr id="835" name="image356.jpeg"/>
                    <pic:cNvPicPr/>
                  </pic:nvPicPr>
                  <pic:blipFill>
                    <a:blip r:embed="rId8" cstate="print"/>
                    <a:stretch>
                      <a:fillRect/>
                    </a:stretch>
                  </pic:blipFill>
                  <pic:spPr>
                    <a:xfrm>
                      <a:off x="0" y="0"/>
                      <a:ext cx="2700020" cy="1981835"/>
                    </a:xfrm>
                    <a:prstGeom prst="rect">
                      <a:avLst/>
                    </a:prstGeom>
                  </pic:spPr>
                </pic:pic>
              </a:graphicData>
            </a:graphic>
          </wp:inline>
        </w:drawing>
      </w:r>
    </w:p>
    <w:p w14:paraId="495688AC">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rFonts w:hint="eastAsia"/>
          <w:color w:val="auto"/>
        </w:rPr>
        <w:t>（4）有防水工序时：</w:t>
      </w:r>
      <w:r>
        <w:rPr>
          <w:color w:val="auto"/>
        </w:rPr>
        <w:t>初凝至终凝期间用滚筒及打磨机碾压打磨不于3次，以闭合早期砼表面的收缩裂缝。面层采用收面机。收面机无法操作位置，人工木抹子收面</w:t>
      </w:r>
      <w:r>
        <w:rPr>
          <w:rFonts w:hint="eastAsia"/>
          <w:color w:val="auto"/>
        </w:rPr>
        <w:t>。</w:t>
      </w:r>
    </w:p>
    <w:p w14:paraId="17C60C26">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color w:val="auto"/>
        </w:rPr>
        <w:drawing>
          <wp:inline distT="0" distB="0" distL="0" distR="0">
            <wp:extent cx="2604770" cy="1736725"/>
            <wp:effectExtent l="0" t="0" r="7620" b="1270"/>
            <wp:docPr id="847" name="image3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7" name="image361.png"/>
                    <pic:cNvPicPr>
                      <a:picLocks noChangeAspect="1"/>
                    </pic:cNvPicPr>
                  </pic:nvPicPr>
                  <pic:blipFill>
                    <a:blip r:embed="rId9" cstate="print"/>
                    <a:stretch>
                      <a:fillRect/>
                    </a:stretch>
                  </pic:blipFill>
                  <pic:spPr>
                    <a:xfrm>
                      <a:off x="0" y="0"/>
                      <a:ext cx="2604770" cy="1736725"/>
                    </a:xfrm>
                    <a:prstGeom prst="rect">
                      <a:avLst/>
                    </a:prstGeom>
                  </pic:spPr>
                </pic:pic>
              </a:graphicData>
            </a:graphic>
          </wp:inline>
        </w:drawing>
      </w:r>
    </w:p>
    <w:p w14:paraId="23CCC33B">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rFonts w:hint="eastAsia"/>
          <w:color w:val="auto"/>
        </w:rPr>
        <w:t>（5）</w:t>
      </w:r>
      <w:r>
        <w:rPr>
          <w:color w:val="auto"/>
        </w:rPr>
        <w:t>墙柱边混凝土收面标高、平整度控制在 3mm 以内。根部</w:t>
      </w:r>
      <w:r>
        <w:rPr>
          <w:rFonts w:hint="eastAsia"/>
          <w:color w:val="auto"/>
        </w:rPr>
        <w:t>应凿毛剔除并清理干净</w:t>
      </w:r>
    </w:p>
    <w:p w14:paraId="016A7578">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rFonts w:hint="eastAsia"/>
          <w:color w:val="auto"/>
        </w:rPr>
        <w:t xml:space="preserve"> </w:t>
      </w:r>
      <w:r>
        <w:rPr>
          <w:color w:val="auto"/>
        </w:rPr>
        <w:drawing>
          <wp:inline distT="0" distB="0" distL="0" distR="0">
            <wp:extent cx="2532380" cy="2142490"/>
            <wp:effectExtent l="0" t="0" r="4445" b="5715"/>
            <wp:docPr id="299" name="image363.jpeg" descr="39429014737798471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 name="image363.jpeg" descr="3942901473779847147.jpg"/>
                    <pic:cNvPicPr>
                      <a:picLocks noChangeAspect="1"/>
                    </pic:cNvPicPr>
                  </pic:nvPicPr>
                  <pic:blipFill>
                    <a:blip r:embed="rId10" cstate="print"/>
                    <a:stretch>
                      <a:fillRect/>
                    </a:stretch>
                  </pic:blipFill>
                  <pic:spPr>
                    <a:xfrm>
                      <a:off x="0" y="0"/>
                      <a:ext cx="2532380" cy="2142490"/>
                    </a:xfrm>
                    <a:prstGeom prst="rect">
                      <a:avLst/>
                    </a:prstGeom>
                  </pic:spPr>
                </pic:pic>
              </a:graphicData>
            </a:graphic>
          </wp:inline>
        </w:drawing>
      </w:r>
      <w:r>
        <w:rPr>
          <w:rFonts w:hint="eastAsia"/>
          <w:color w:val="auto"/>
        </w:rPr>
        <w:t xml:space="preserve">  </w:t>
      </w:r>
      <w:r>
        <w:rPr>
          <w:color w:val="auto"/>
        </w:rPr>
        <w:drawing>
          <wp:inline distT="0" distB="0" distL="0" distR="0">
            <wp:extent cx="2525395" cy="2137410"/>
            <wp:effectExtent l="0" t="0" r="635" b="0"/>
            <wp:docPr id="300" name="image364.jpeg" descr="39429014737798471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 name="image364.jpeg" descr="3942901473779847148.jpg"/>
                    <pic:cNvPicPr>
                      <a:picLocks noChangeAspect="1"/>
                    </pic:cNvPicPr>
                  </pic:nvPicPr>
                  <pic:blipFill>
                    <a:blip r:embed="rId11" cstate="print"/>
                    <a:stretch>
                      <a:fillRect/>
                    </a:stretch>
                  </pic:blipFill>
                  <pic:spPr>
                    <a:xfrm>
                      <a:off x="0" y="0"/>
                      <a:ext cx="2525395" cy="2137410"/>
                    </a:xfrm>
                    <a:prstGeom prst="rect">
                      <a:avLst/>
                    </a:prstGeom>
                  </pic:spPr>
                </pic:pic>
              </a:graphicData>
            </a:graphic>
          </wp:inline>
        </w:drawing>
      </w:r>
    </w:p>
    <w:p w14:paraId="6C29378F">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rFonts w:hint="eastAsia"/>
          <w:color w:val="auto"/>
        </w:rPr>
        <w:t>（6）</w:t>
      </w:r>
      <w:r>
        <w:rPr>
          <w:color w:val="auto"/>
        </w:rPr>
        <w:t>浇筑</w:t>
      </w:r>
      <w:r>
        <w:rPr>
          <w:rFonts w:hint="eastAsia"/>
          <w:color w:val="auto"/>
        </w:rPr>
        <w:t>完成</w:t>
      </w:r>
      <w:r>
        <w:rPr>
          <w:color w:val="auto"/>
        </w:rPr>
        <w:t>后采用塑料薄膜或三彩布遮盖</w:t>
      </w:r>
      <w:r>
        <w:rPr>
          <w:rFonts w:hint="eastAsia"/>
          <w:color w:val="auto"/>
        </w:rPr>
        <w:t>。水平构件</w:t>
      </w:r>
      <w:r>
        <w:rPr>
          <w:color w:val="auto"/>
        </w:rPr>
        <w:t>采用浇水养护 7 天，</w:t>
      </w:r>
      <w:r>
        <w:rPr>
          <w:rFonts w:hint="eastAsia"/>
          <w:color w:val="auto"/>
        </w:rPr>
        <w:t>垂直构件</w:t>
      </w:r>
      <w:r>
        <w:rPr>
          <w:color w:val="auto"/>
        </w:rPr>
        <w:t>采用喷养护剂</w:t>
      </w:r>
    </w:p>
    <w:p w14:paraId="04456749">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color w:val="auto"/>
          <w:sz w:val="21"/>
          <w:szCs w:val="21"/>
        </w:rPr>
        <w:drawing>
          <wp:inline distT="0" distB="0" distL="0" distR="0">
            <wp:extent cx="2487295" cy="1786255"/>
            <wp:effectExtent l="0" t="0" r="6350" b="5715"/>
            <wp:docPr id="302" name="image36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 name="image365.jpeg"/>
                    <pic:cNvPicPr>
                      <a:picLocks noChangeAspect="1"/>
                    </pic:cNvPicPr>
                  </pic:nvPicPr>
                  <pic:blipFill>
                    <a:blip r:embed="rId12" cstate="print"/>
                    <a:stretch>
                      <a:fillRect/>
                    </a:stretch>
                  </pic:blipFill>
                  <pic:spPr>
                    <a:xfrm>
                      <a:off x="0" y="0"/>
                      <a:ext cx="2487295" cy="1786255"/>
                    </a:xfrm>
                    <a:prstGeom prst="rect">
                      <a:avLst/>
                    </a:prstGeom>
                  </pic:spPr>
                </pic:pic>
              </a:graphicData>
            </a:graphic>
          </wp:inline>
        </w:drawing>
      </w:r>
      <w:r>
        <w:rPr>
          <w:rFonts w:hint="eastAsia"/>
          <w:color w:val="auto"/>
          <w:sz w:val="21"/>
          <w:szCs w:val="21"/>
        </w:rPr>
        <w:t xml:space="preserve">  </w:t>
      </w:r>
      <w:r>
        <w:rPr>
          <w:color w:val="auto"/>
        </w:rPr>
        <w:drawing>
          <wp:inline distT="0" distB="0" distL="0" distR="0">
            <wp:extent cx="2362835" cy="1758315"/>
            <wp:effectExtent l="0" t="0" r="1270" b="1270"/>
            <wp:docPr id="308" name="image36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 name="image368.jpeg"/>
                    <pic:cNvPicPr>
                      <a:picLocks noChangeAspect="1"/>
                    </pic:cNvPicPr>
                  </pic:nvPicPr>
                  <pic:blipFill>
                    <a:blip r:embed="rId13" cstate="print"/>
                    <a:stretch>
                      <a:fillRect/>
                    </a:stretch>
                  </pic:blipFill>
                  <pic:spPr>
                    <a:xfrm>
                      <a:off x="0" y="0"/>
                      <a:ext cx="2362835" cy="1758315"/>
                    </a:xfrm>
                    <a:prstGeom prst="rect">
                      <a:avLst/>
                    </a:prstGeom>
                  </pic:spPr>
                </pic:pic>
              </a:graphicData>
            </a:graphic>
          </wp:inline>
        </w:drawing>
      </w:r>
    </w:p>
    <w:p w14:paraId="7597FD9C">
      <w:pPr>
        <w:keepNext w:val="0"/>
        <w:keepLines w:val="0"/>
        <w:pageBreakBefore w:val="0"/>
        <w:widowControl w:val="0"/>
        <w:kinsoku/>
        <w:wordWrap/>
        <w:overflowPunct/>
        <w:topLinePunct w:val="0"/>
        <w:autoSpaceDE/>
        <w:autoSpaceDN/>
        <w:bidi w:val="0"/>
        <w:spacing w:line="240" w:lineRule="auto"/>
        <w:jc w:val="both"/>
        <w:textAlignment w:val="auto"/>
        <w:rPr>
          <w:color w:val="auto"/>
        </w:rPr>
      </w:pPr>
      <w:r>
        <w:rPr>
          <w:rFonts w:hint="eastAsia"/>
          <w:color w:val="auto"/>
        </w:rPr>
        <w:t>（7）</w:t>
      </w:r>
      <w:r>
        <w:rPr>
          <w:color w:val="auto"/>
        </w:rPr>
        <w:t>设置二次构件集中加工区:集中加工过梁、</w:t>
      </w:r>
      <w:r>
        <w:rPr>
          <w:rFonts w:hint="eastAsia"/>
          <w:color w:val="auto"/>
          <w:lang w:val="en-US" w:eastAsia="zh-CN"/>
        </w:rPr>
        <w:t>顶砌三角预制块、</w:t>
      </w:r>
      <w:r>
        <w:rPr>
          <w:color w:val="auto"/>
        </w:rPr>
        <w:t>窗台板、空调孔预制块、门窗洞口边预制块。</w:t>
      </w:r>
    </w:p>
    <w:p w14:paraId="62E93C4F">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color w:val="auto"/>
        </w:rPr>
        <w:drawing>
          <wp:inline distT="0" distB="0" distL="0" distR="0">
            <wp:extent cx="2430145" cy="1993265"/>
            <wp:effectExtent l="0" t="0" r="9525" b="3810"/>
            <wp:docPr id="907" name="image386.jpeg" descr="SAM_0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 name="image386.jpeg" descr="SAM_0229"/>
                    <pic:cNvPicPr>
                      <a:picLocks noChangeAspect="1"/>
                    </pic:cNvPicPr>
                  </pic:nvPicPr>
                  <pic:blipFill>
                    <a:blip r:embed="rId14" cstate="print"/>
                    <a:stretch>
                      <a:fillRect/>
                    </a:stretch>
                  </pic:blipFill>
                  <pic:spPr>
                    <a:xfrm>
                      <a:off x="0" y="0"/>
                      <a:ext cx="2430145" cy="1993265"/>
                    </a:xfrm>
                    <a:prstGeom prst="rect">
                      <a:avLst/>
                    </a:prstGeom>
                  </pic:spPr>
                </pic:pic>
              </a:graphicData>
            </a:graphic>
          </wp:inline>
        </w:drawing>
      </w:r>
      <w:r>
        <w:rPr>
          <w:rFonts w:hint="eastAsia"/>
          <w:color w:val="auto"/>
        </w:rPr>
        <w:t xml:space="preserve"> </w:t>
      </w:r>
      <w:r>
        <w:rPr>
          <w:color w:val="auto"/>
        </w:rPr>
        <w:drawing>
          <wp:inline distT="0" distB="0" distL="0" distR="0">
            <wp:extent cx="2388235" cy="1990090"/>
            <wp:effectExtent l="0" t="0" r="8255" b="6985"/>
            <wp:docPr id="911" name="image387.jpeg" descr="u=228857258,3962935370&amp;fm=23&amp;gp=0_副本.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1" name="image387.jpeg" descr="u=228857258,3962935370&amp;fm=23&amp;gp=0_副本.jpg"/>
                    <pic:cNvPicPr>
                      <a:picLocks noChangeAspect="1"/>
                    </pic:cNvPicPr>
                  </pic:nvPicPr>
                  <pic:blipFill>
                    <a:blip r:embed="rId15" cstate="print"/>
                    <a:stretch>
                      <a:fillRect/>
                    </a:stretch>
                  </pic:blipFill>
                  <pic:spPr>
                    <a:xfrm>
                      <a:off x="0" y="0"/>
                      <a:ext cx="2388235" cy="1990090"/>
                    </a:xfrm>
                    <a:prstGeom prst="rect">
                      <a:avLst/>
                    </a:prstGeom>
                  </pic:spPr>
                </pic:pic>
              </a:graphicData>
            </a:graphic>
          </wp:inline>
        </w:drawing>
      </w:r>
      <w:r>
        <w:rPr>
          <w:rFonts w:hint="eastAsia"/>
          <w:color w:val="auto"/>
        </w:rPr>
        <w:t xml:space="preserve"> </w:t>
      </w:r>
    </w:p>
    <w:p w14:paraId="28BB9F9B">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color w:val="auto"/>
        </w:rPr>
        <w:drawing>
          <wp:inline distT="0" distB="0" distL="0" distR="0">
            <wp:extent cx="2443480" cy="1877695"/>
            <wp:effectExtent l="0" t="0" r="6985" b="635"/>
            <wp:docPr id="917" name="image390.jpeg" descr="2693715527137923407_副本.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 name="image390.jpeg" descr="2693715527137923407_副本.jpg"/>
                    <pic:cNvPicPr>
                      <a:picLocks noChangeAspect="1"/>
                    </pic:cNvPicPr>
                  </pic:nvPicPr>
                  <pic:blipFill>
                    <a:blip r:embed="rId16" cstate="print"/>
                    <a:stretch>
                      <a:fillRect/>
                    </a:stretch>
                  </pic:blipFill>
                  <pic:spPr>
                    <a:xfrm>
                      <a:off x="0" y="0"/>
                      <a:ext cx="2443480" cy="1877695"/>
                    </a:xfrm>
                    <a:prstGeom prst="rect">
                      <a:avLst/>
                    </a:prstGeom>
                  </pic:spPr>
                </pic:pic>
              </a:graphicData>
            </a:graphic>
          </wp:inline>
        </w:drawing>
      </w:r>
      <w:r>
        <w:rPr>
          <w:rFonts w:hint="eastAsia"/>
          <w:color w:val="auto"/>
        </w:rPr>
        <w:t xml:space="preserve"> </w:t>
      </w:r>
      <w:r>
        <w:rPr>
          <w:color w:val="auto"/>
        </w:rPr>
        <w:drawing>
          <wp:inline distT="0" distB="0" distL="0" distR="0">
            <wp:extent cx="2459990" cy="1866900"/>
            <wp:effectExtent l="0" t="0" r="1270" b="635"/>
            <wp:docPr id="1085" name="image4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5" name="image456.jpeg"/>
                    <pic:cNvPicPr>
                      <a:picLocks noChangeAspect="1"/>
                    </pic:cNvPicPr>
                  </pic:nvPicPr>
                  <pic:blipFill>
                    <a:blip r:embed="rId17" cstate="print"/>
                    <a:stretch>
                      <a:fillRect/>
                    </a:stretch>
                  </pic:blipFill>
                  <pic:spPr>
                    <a:xfrm>
                      <a:off x="0" y="0"/>
                      <a:ext cx="2459990" cy="1866900"/>
                    </a:xfrm>
                    <a:prstGeom prst="rect">
                      <a:avLst/>
                    </a:prstGeom>
                  </pic:spPr>
                </pic:pic>
              </a:graphicData>
            </a:graphic>
          </wp:inline>
        </w:drawing>
      </w:r>
    </w:p>
    <w:p w14:paraId="40E6CF48">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rFonts w:hint="eastAsia"/>
          <w:color w:val="auto"/>
        </w:rPr>
        <w:t>（8）</w:t>
      </w:r>
      <w:r>
        <w:rPr>
          <w:color w:val="auto"/>
        </w:rPr>
        <w:t>构造柱：加气混凝土</w:t>
      </w:r>
      <w:r>
        <w:rPr>
          <w:rFonts w:hint="eastAsia"/>
          <w:color w:val="auto"/>
        </w:rPr>
        <w:t>或煤矸石空心砖</w:t>
      </w:r>
      <w:r>
        <w:rPr>
          <w:color w:val="auto"/>
        </w:rPr>
        <w:t>砌块墙体，构造柱与墙体连接处的砌体砌成马牙槎。马牙槎应符合设计要求；无设计时，按以下做法：马牙槎高度不宜超过 300mm，</w:t>
      </w:r>
      <w:r>
        <w:rPr>
          <w:rFonts w:hint="eastAsia"/>
          <w:color w:val="auto"/>
        </w:rPr>
        <w:t>凹凸不平尺寸不宜小于60</w:t>
      </w:r>
      <w:r>
        <w:rPr>
          <w:color w:val="auto"/>
        </w:rPr>
        <w:t>mm，自底向上，先退后进。采用对拉螺栓固定模板，螺栓应从构造柱内部穿过，不得在砌块上凿孔。不得采用穿铁丝的方式固定模板。</w:t>
      </w:r>
    </w:p>
    <w:p w14:paraId="71AACC0E">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color w:val="auto"/>
        </w:rPr>
        <w:drawing>
          <wp:inline distT="0" distB="0" distL="0" distR="0">
            <wp:extent cx="2352040" cy="1749425"/>
            <wp:effectExtent l="0" t="0" r="1270" b="10160"/>
            <wp:docPr id="981" name="image4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1" name="image416.jpeg"/>
                    <pic:cNvPicPr>
                      <a:picLocks noChangeAspect="1"/>
                    </pic:cNvPicPr>
                  </pic:nvPicPr>
                  <pic:blipFill>
                    <a:blip r:embed="rId18" cstate="print"/>
                    <a:stretch>
                      <a:fillRect/>
                    </a:stretch>
                  </pic:blipFill>
                  <pic:spPr>
                    <a:xfrm>
                      <a:off x="0" y="0"/>
                      <a:ext cx="2352040" cy="1749425"/>
                    </a:xfrm>
                    <a:prstGeom prst="rect">
                      <a:avLst/>
                    </a:prstGeom>
                  </pic:spPr>
                </pic:pic>
              </a:graphicData>
            </a:graphic>
          </wp:inline>
        </w:drawing>
      </w:r>
      <w:r>
        <w:rPr>
          <w:rFonts w:hint="eastAsia"/>
          <w:color w:val="auto"/>
        </w:rPr>
        <w:t xml:space="preserve"> </w:t>
      </w:r>
      <w:r>
        <w:rPr>
          <w:color w:val="auto"/>
        </w:rPr>
        <w:drawing>
          <wp:inline distT="0" distB="0" distL="0" distR="0">
            <wp:extent cx="2493645" cy="1726565"/>
            <wp:effectExtent l="0" t="0" r="0" b="635"/>
            <wp:docPr id="1013" name="image429.jpeg" descr="构造柱制模样板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3" name="image429.jpeg" descr="构造柱制模样板3.JPG"/>
                    <pic:cNvPicPr>
                      <a:picLocks noChangeAspect="1"/>
                    </pic:cNvPicPr>
                  </pic:nvPicPr>
                  <pic:blipFill>
                    <a:blip r:embed="rId19" cstate="print"/>
                    <a:srcRect b="14664"/>
                    <a:stretch>
                      <a:fillRect/>
                    </a:stretch>
                  </pic:blipFill>
                  <pic:spPr>
                    <a:xfrm>
                      <a:off x="0" y="0"/>
                      <a:ext cx="2493645" cy="1726565"/>
                    </a:xfrm>
                    <a:prstGeom prst="rect">
                      <a:avLst/>
                    </a:prstGeom>
                  </pic:spPr>
                </pic:pic>
              </a:graphicData>
            </a:graphic>
          </wp:inline>
        </w:drawing>
      </w:r>
    </w:p>
    <w:p w14:paraId="40631931">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rFonts w:hint="eastAsia"/>
          <w:color w:val="auto"/>
        </w:rPr>
        <w:t>（9）</w:t>
      </w:r>
      <w:r>
        <w:rPr>
          <w:color w:val="auto"/>
        </w:rPr>
        <w:t>斜顶砖砌筑:当墙体砌筑至接近梁底约 1</w:t>
      </w:r>
      <w:r>
        <w:rPr>
          <w:rFonts w:hint="eastAsia"/>
          <w:color w:val="auto"/>
          <w:lang w:val="en-US" w:eastAsia="zh-CN"/>
        </w:rPr>
        <w:t>4</w:t>
      </w:r>
      <w:r>
        <w:rPr>
          <w:color w:val="auto"/>
        </w:rPr>
        <w:t>0mm-</w:t>
      </w:r>
      <w:r>
        <w:rPr>
          <w:rFonts w:hint="eastAsia"/>
          <w:color w:val="auto"/>
          <w:lang w:val="en-US" w:eastAsia="zh-CN"/>
        </w:rPr>
        <w:t>16</w:t>
      </w:r>
      <w:r>
        <w:rPr>
          <w:color w:val="auto"/>
        </w:rPr>
        <w:t>0mm 时，应等候 14 天或以上方可填充斜顶砖。采用实心灰砂砖从中间至两边 45°~60°斜顶，用水泥砂浆封堵严实。为了克服碎砖或砂浆塞缝出现收缩导致渗水等问题，采用预制三角形混凝土砖，对顶砖边角</w:t>
      </w:r>
      <w:r>
        <w:rPr>
          <w:rFonts w:hint="eastAsia"/>
          <w:color w:val="auto"/>
        </w:rPr>
        <w:t>（及中间部位）</w:t>
      </w:r>
      <w:r>
        <w:rPr>
          <w:color w:val="auto"/>
        </w:rPr>
        <w:t>及交接部位进行斜砌。</w:t>
      </w:r>
    </w:p>
    <w:p w14:paraId="34CA3A0E">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color w:val="auto"/>
        </w:rPr>
        <w:drawing>
          <wp:inline distT="0" distB="0" distL="0" distR="0">
            <wp:extent cx="2597785" cy="1732280"/>
            <wp:effectExtent l="0" t="0" r="3810" b="5715"/>
            <wp:docPr id="1001" name="image424.jpeg" descr="IMG_5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 name="image424.jpeg" descr="IMG_5131"/>
                    <pic:cNvPicPr>
                      <a:picLocks noChangeAspect="1"/>
                    </pic:cNvPicPr>
                  </pic:nvPicPr>
                  <pic:blipFill>
                    <a:blip r:embed="rId20" cstate="print"/>
                    <a:stretch>
                      <a:fillRect/>
                    </a:stretch>
                  </pic:blipFill>
                  <pic:spPr>
                    <a:xfrm>
                      <a:off x="0" y="0"/>
                      <a:ext cx="2597785" cy="1732280"/>
                    </a:xfrm>
                    <a:prstGeom prst="rect">
                      <a:avLst/>
                    </a:prstGeom>
                  </pic:spPr>
                </pic:pic>
              </a:graphicData>
            </a:graphic>
          </wp:inline>
        </w:drawing>
      </w:r>
      <w:r>
        <w:rPr>
          <w:rFonts w:hint="eastAsia"/>
          <w:color w:val="auto"/>
        </w:rPr>
        <w:t xml:space="preserve"> </w:t>
      </w:r>
      <w:r>
        <w:rPr>
          <w:color w:val="auto"/>
        </w:rPr>
        <w:drawing>
          <wp:inline distT="0" distB="0" distL="0" distR="0">
            <wp:extent cx="2564765" cy="1710055"/>
            <wp:effectExtent l="0" t="0" r="4445" b="6350"/>
            <wp:docPr id="1003" name="image4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 name="image425.jpeg"/>
                    <pic:cNvPicPr>
                      <a:picLocks noChangeAspect="1"/>
                    </pic:cNvPicPr>
                  </pic:nvPicPr>
                  <pic:blipFill>
                    <a:blip r:embed="rId21" cstate="print"/>
                    <a:stretch>
                      <a:fillRect/>
                    </a:stretch>
                  </pic:blipFill>
                  <pic:spPr>
                    <a:xfrm>
                      <a:off x="0" y="0"/>
                      <a:ext cx="2564765" cy="1710055"/>
                    </a:xfrm>
                    <a:prstGeom prst="rect">
                      <a:avLst/>
                    </a:prstGeom>
                  </pic:spPr>
                </pic:pic>
              </a:graphicData>
            </a:graphic>
          </wp:inline>
        </w:drawing>
      </w:r>
    </w:p>
    <w:p w14:paraId="4D21E8FA">
      <w:pPr>
        <w:keepNext w:val="0"/>
        <w:keepLines w:val="0"/>
        <w:pageBreakBefore w:val="0"/>
        <w:widowControl w:val="0"/>
        <w:kinsoku/>
        <w:wordWrap/>
        <w:overflowPunct/>
        <w:topLinePunct w:val="0"/>
        <w:autoSpaceDE/>
        <w:autoSpaceDN/>
        <w:bidi w:val="0"/>
        <w:spacing w:line="240" w:lineRule="auto"/>
        <w:jc w:val="both"/>
        <w:textAlignment w:val="auto"/>
        <w:rPr>
          <w:color w:val="auto"/>
        </w:rPr>
      </w:pPr>
      <w:r>
        <w:rPr>
          <w:rFonts w:hint="eastAsia"/>
          <w:color w:val="auto"/>
        </w:rPr>
        <w:t>（10）</w:t>
      </w:r>
      <w:r>
        <w:rPr>
          <w:color w:val="auto"/>
        </w:rPr>
        <w:t>窗台压顶，板带的厚度不小于120mm，宽度同墙厚，每边深入≥</w:t>
      </w:r>
      <w:r>
        <w:rPr>
          <w:rFonts w:hint="eastAsia"/>
          <w:color w:val="auto"/>
          <w:lang w:val="en-US" w:eastAsia="zh-CN"/>
        </w:rPr>
        <w:t>40</w:t>
      </w:r>
      <w:r>
        <w:rPr>
          <w:color w:val="auto"/>
        </w:rPr>
        <w:t>0mm（</w:t>
      </w:r>
      <w:r>
        <w:rPr>
          <w:rFonts w:hint="eastAsia"/>
          <w:color w:val="auto"/>
          <w:lang w:val="en-US" w:eastAsia="zh-CN"/>
        </w:rPr>
        <w:t>首层、顶层</w:t>
      </w:r>
      <w:r>
        <w:rPr>
          <w:color w:val="auto"/>
        </w:rPr>
        <w:t>通长设置）；</w:t>
      </w:r>
      <w:r>
        <w:rPr>
          <w:rFonts w:hint="eastAsia"/>
          <w:color w:val="auto"/>
        </w:rPr>
        <w:t>混凝土标号和配筋（符合设计和规范要求）</w:t>
      </w:r>
      <w:r>
        <w:rPr>
          <w:color w:val="auto"/>
        </w:rPr>
        <w:t>。通长现浇钢筋混凝土板带应一次浇筑完成。</w:t>
      </w:r>
    </w:p>
    <w:p w14:paraId="28F39A03">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color w:val="auto"/>
        </w:rPr>
        <w:drawing>
          <wp:inline distT="0" distB="0" distL="0" distR="0">
            <wp:extent cx="2478405" cy="1715770"/>
            <wp:effectExtent l="0" t="0" r="4445" b="635"/>
            <wp:docPr id="1121" name="image4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1" name="image417.jpeg"/>
                    <pic:cNvPicPr>
                      <a:picLocks noChangeAspect="1"/>
                    </pic:cNvPicPr>
                  </pic:nvPicPr>
                  <pic:blipFill>
                    <a:blip r:embed="rId22" cstate="print"/>
                    <a:srcRect t="2683"/>
                    <a:stretch>
                      <a:fillRect/>
                    </a:stretch>
                  </pic:blipFill>
                  <pic:spPr>
                    <a:xfrm>
                      <a:off x="0" y="0"/>
                      <a:ext cx="2478405" cy="1715770"/>
                    </a:xfrm>
                    <a:prstGeom prst="rect">
                      <a:avLst/>
                    </a:prstGeom>
                  </pic:spPr>
                </pic:pic>
              </a:graphicData>
            </a:graphic>
          </wp:inline>
        </w:drawing>
      </w:r>
      <w:r>
        <w:rPr>
          <w:rFonts w:hint="eastAsia"/>
          <w:color w:val="auto"/>
        </w:rPr>
        <w:t xml:space="preserve"> </w:t>
      </w:r>
      <w:r>
        <w:rPr>
          <w:color w:val="auto"/>
        </w:rPr>
        <w:drawing>
          <wp:inline distT="0" distB="0" distL="0" distR="0">
            <wp:extent cx="2501900" cy="1732280"/>
            <wp:effectExtent l="0" t="0" r="2540" b="5715"/>
            <wp:docPr id="1123" name="image4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3" name="image418.jpeg"/>
                    <pic:cNvPicPr>
                      <a:picLocks noChangeAspect="1"/>
                    </pic:cNvPicPr>
                  </pic:nvPicPr>
                  <pic:blipFill>
                    <a:blip r:embed="rId23" cstate="print"/>
                    <a:stretch>
                      <a:fillRect/>
                    </a:stretch>
                  </pic:blipFill>
                  <pic:spPr>
                    <a:xfrm>
                      <a:off x="0" y="0"/>
                      <a:ext cx="2501900" cy="1732280"/>
                    </a:xfrm>
                    <a:prstGeom prst="rect">
                      <a:avLst/>
                    </a:prstGeom>
                  </pic:spPr>
                </pic:pic>
              </a:graphicData>
            </a:graphic>
          </wp:inline>
        </w:drawing>
      </w:r>
    </w:p>
    <w:p w14:paraId="24681ABE">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rFonts w:hint="eastAsia"/>
          <w:color w:val="auto"/>
        </w:rPr>
        <w:t>（11）</w:t>
      </w:r>
      <w:r>
        <w:rPr>
          <w:color w:val="auto"/>
        </w:rPr>
        <w:t xml:space="preserve">内外墙不同基体交接处：采用挂热镀锌钢丝网，用环氧树脂粘结固定钉，宽 </w:t>
      </w:r>
      <w:r>
        <w:rPr>
          <w:rFonts w:hint="eastAsia"/>
          <w:color w:val="auto"/>
          <w:lang w:val="en-US" w:eastAsia="zh-CN"/>
        </w:rPr>
        <w:t>30</w:t>
      </w:r>
      <w:r>
        <w:rPr>
          <w:color w:val="auto"/>
        </w:rPr>
        <w:t xml:space="preserve">0 mm，基体搭接不小于 </w:t>
      </w:r>
      <w:r>
        <w:rPr>
          <w:rFonts w:hint="eastAsia"/>
          <w:color w:val="auto"/>
        </w:rPr>
        <w:t>150</w:t>
      </w:r>
      <w:r>
        <w:rPr>
          <w:color w:val="auto"/>
        </w:rPr>
        <w:t xml:space="preserve"> mm；挂网前墙体高低差部分采用水泥砂浆填补</w:t>
      </w:r>
      <w:r>
        <w:rPr>
          <w:rFonts w:hint="eastAsia"/>
          <w:color w:val="auto"/>
        </w:rPr>
        <w:t>。</w:t>
      </w:r>
    </w:p>
    <w:p w14:paraId="48D6A099">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color w:val="auto"/>
        </w:rPr>
        <w:drawing>
          <wp:inline distT="0" distB="0" distL="0" distR="0">
            <wp:extent cx="2486025" cy="1657985"/>
            <wp:effectExtent l="0" t="0" r="7620" b="4445"/>
            <wp:docPr id="1127" name="image47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7" name="image471.jpeg"/>
                    <pic:cNvPicPr>
                      <a:picLocks noChangeAspect="1"/>
                    </pic:cNvPicPr>
                  </pic:nvPicPr>
                  <pic:blipFill>
                    <a:blip r:embed="rId24" cstate="print"/>
                    <a:stretch>
                      <a:fillRect/>
                    </a:stretch>
                  </pic:blipFill>
                  <pic:spPr>
                    <a:xfrm>
                      <a:off x="0" y="0"/>
                      <a:ext cx="2486025" cy="1657985"/>
                    </a:xfrm>
                    <a:prstGeom prst="rect">
                      <a:avLst/>
                    </a:prstGeom>
                  </pic:spPr>
                </pic:pic>
              </a:graphicData>
            </a:graphic>
          </wp:inline>
        </w:drawing>
      </w:r>
    </w:p>
    <w:p w14:paraId="6CDBE28C">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rFonts w:hint="eastAsia"/>
          <w:color w:val="auto"/>
        </w:rPr>
        <w:t>（12）</w:t>
      </w:r>
      <w:r>
        <w:rPr>
          <w:color w:val="auto"/>
        </w:rPr>
        <w:t>喷浆：采用机械喷浆工艺，均匀，饱满，喷浆点施工界面浆点高度不小于 3-5mm，圆点底部直径为 5～15mm；控制浆点最大高差宜小于 3mm, 喷浆浆料平均覆盖施工界面应大于 95%。</w:t>
      </w:r>
    </w:p>
    <w:p w14:paraId="4A8F1450">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eastAsia="宋体"/>
          <w:color w:val="auto"/>
          <w:lang w:val="en-US" w:eastAsia="zh-CN"/>
        </w:rPr>
      </w:pPr>
      <w:r>
        <w:rPr>
          <w:color w:val="auto"/>
        </w:rPr>
        <w:drawing>
          <wp:inline distT="0" distB="0" distL="0" distR="0">
            <wp:extent cx="2232025" cy="1631950"/>
            <wp:effectExtent l="0" t="0" r="2540" b="8890"/>
            <wp:docPr id="1131" name="image47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 name="image473.jpeg"/>
                    <pic:cNvPicPr>
                      <a:picLocks noChangeAspect="1"/>
                    </pic:cNvPicPr>
                  </pic:nvPicPr>
                  <pic:blipFill>
                    <a:blip r:embed="rId25" cstate="print"/>
                    <a:stretch>
                      <a:fillRect/>
                    </a:stretch>
                  </pic:blipFill>
                  <pic:spPr>
                    <a:xfrm>
                      <a:off x="0" y="0"/>
                      <a:ext cx="2232025" cy="1631950"/>
                    </a:xfrm>
                    <a:prstGeom prst="rect">
                      <a:avLst/>
                    </a:prstGeom>
                  </pic:spPr>
                </pic:pic>
              </a:graphicData>
            </a:graphic>
          </wp:inline>
        </w:drawing>
      </w:r>
      <w:r>
        <w:rPr>
          <w:rFonts w:hint="eastAsia"/>
          <w:color w:val="auto"/>
          <w:lang w:val="en-US" w:eastAsia="zh-CN"/>
        </w:rPr>
        <w:t xml:space="preserve">  </w:t>
      </w:r>
      <w:r>
        <w:rPr>
          <w:rFonts w:hint="eastAsia" w:eastAsia="宋体"/>
          <w:color w:val="auto"/>
          <w:lang w:val="en-US" w:eastAsia="zh-CN"/>
        </w:rPr>
        <w:drawing>
          <wp:inline distT="0" distB="0" distL="114300" distR="114300">
            <wp:extent cx="1637665" cy="2181860"/>
            <wp:effectExtent l="0" t="0" r="3175" b="9525"/>
            <wp:docPr id="9" name="图片 9" descr="fdcfaec4f026e709dfbe423d40450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fdcfaec4f026e709dfbe423d40450e9"/>
                    <pic:cNvPicPr>
                      <a:picLocks noChangeAspect="1"/>
                    </pic:cNvPicPr>
                  </pic:nvPicPr>
                  <pic:blipFill>
                    <a:blip r:embed="rId26"/>
                    <a:stretch>
                      <a:fillRect/>
                    </a:stretch>
                  </pic:blipFill>
                  <pic:spPr>
                    <a:xfrm>
                      <a:off x="0" y="0"/>
                      <a:ext cx="1637665" cy="2181860"/>
                    </a:xfrm>
                    <a:prstGeom prst="rect">
                      <a:avLst/>
                    </a:prstGeom>
                  </pic:spPr>
                </pic:pic>
              </a:graphicData>
            </a:graphic>
          </wp:inline>
        </w:drawing>
      </w:r>
    </w:p>
    <w:p w14:paraId="6E0B19DA">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rFonts w:hint="eastAsia"/>
          <w:color w:val="auto"/>
        </w:rPr>
        <w:t>（13）抹灰</w:t>
      </w:r>
      <w:r>
        <w:rPr>
          <w:b/>
          <w:bCs/>
          <w:color w:val="auto"/>
        </w:rPr>
        <w:t>完成面：</w:t>
      </w:r>
      <w:r>
        <w:rPr>
          <w:color w:val="auto"/>
        </w:rPr>
        <w:t>色泽均匀，无疤痕、砂眼、抹子印。</w:t>
      </w:r>
      <w:r>
        <w:rPr>
          <w:b/>
          <w:bCs/>
          <w:color w:val="auto"/>
        </w:rPr>
        <w:t>养护：</w:t>
      </w:r>
      <w:r>
        <w:rPr>
          <w:color w:val="auto"/>
        </w:rPr>
        <w:t>抹灰面层初凝后应适时喷水养护，养护时间不少于 7 天</w:t>
      </w:r>
    </w:p>
    <w:p w14:paraId="3AEBA367">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color w:val="auto"/>
        </w:rPr>
        <w:drawing>
          <wp:inline distT="0" distB="0" distL="0" distR="0">
            <wp:extent cx="2536190" cy="1753235"/>
            <wp:effectExtent l="0" t="0" r="635" b="6350"/>
            <wp:docPr id="1167" name="image48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7" name="image488.jpeg"/>
                    <pic:cNvPicPr>
                      <a:picLocks noChangeAspect="1"/>
                    </pic:cNvPicPr>
                  </pic:nvPicPr>
                  <pic:blipFill>
                    <a:blip r:embed="rId27" cstate="print"/>
                    <a:stretch>
                      <a:fillRect/>
                    </a:stretch>
                  </pic:blipFill>
                  <pic:spPr>
                    <a:xfrm>
                      <a:off x="0" y="0"/>
                      <a:ext cx="2536190" cy="1753235"/>
                    </a:xfrm>
                    <a:prstGeom prst="rect">
                      <a:avLst/>
                    </a:prstGeom>
                  </pic:spPr>
                </pic:pic>
              </a:graphicData>
            </a:graphic>
          </wp:inline>
        </w:drawing>
      </w:r>
      <w:r>
        <w:rPr>
          <w:rFonts w:hint="eastAsia"/>
          <w:color w:val="auto"/>
        </w:rPr>
        <w:t xml:space="preserve"> </w:t>
      </w:r>
      <w:r>
        <w:rPr>
          <w:color w:val="auto"/>
        </w:rPr>
        <w:drawing>
          <wp:inline distT="0" distB="0" distL="0" distR="0">
            <wp:extent cx="2517775" cy="1740535"/>
            <wp:effectExtent l="0" t="0" r="8255" b="8255"/>
            <wp:docPr id="1169" name="image48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9" name="image489.jpeg"/>
                    <pic:cNvPicPr>
                      <a:picLocks noChangeAspect="1"/>
                    </pic:cNvPicPr>
                  </pic:nvPicPr>
                  <pic:blipFill>
                    <a:blip r:embed="rId28" cstate="print"/>
                    <a:stretch>
                      <a:fillRect/>
                    </a:stretch>
                  </pic:blipFill>
                  <pic:spPr>
                    <a:xfrm>
                      <a:off x="0" y="0"/>
                      <a:ext cx="2517775" cy="1740535"/>
                    </a:xfrm>
                    <a:prstGeom prst="rect">
                      <a:avLst/>
                    </a:prstGeom>
                  </pic:spPr>
                </pic:pic>
              </a:graphicData>
            </a:graphic>
          </wp:inline>
        </w:drawing>
      </w:r>
    </w:p>
    <w:p w14:paraId="7CE86CC6">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rFonts w:hint="eastAsia"/>
          <w:b/>
          <w:bCs/>
          <w:color w:val="auto"/>
        </w:rPr>
        <w:t>（14）</w:t>
      </w:r>
      <w:r>
        <w:rPr>
          <w:b/>
          <w:bCs/>
          <w:color w:val="auto"/>
        </w:rPr>
        <w:t>分隔缝：</w:t>
      </w:r>
      <w:r>
        <w:rPr>
          <w:color w:val="auto"/>
        </w:rPr>
        <w:t>外墙面抹灰层设置分隔缝，应设置在梁中部位。</w:t>
      </w:r>
      <w:r>
        <w:rPr>
          <w:b/>
          <w:bCs/>
          <w:color w:val="auto"/>
        </w:rPr>
        <w:t>滴水线：</w:t>
      </w:r>
      <w:r>
        <w:rPr>
          <w:color w:val="auto"/>
        </w:rPr>
        <w:t>阳台封口梁、窗檐等位置设置滴水线条，宽度、深度为 10 mm。</w:t>
      </w:r>
    </w:p>
    <w:p w14:paraId="7BA1D745">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color w:val="auto"/>
        </w:rPr>
        <w:drawing>
          <wp:inline distT="0" distB="0" distL="0" distR="0">
            <wp:extent cx="2470150" cy="1840865"/>
            <wp:effectExtent l="0" t="0" r="1905" b="5080"/>
            <wp:docPr id="1171" name="image49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1" name="image490.jpeg"/>
                    <pic:cNvPicPr>
                      <a:picLocks noChangeAspect="1"/>
                    </pic:cNvPicPr>
                  </pic:nvPicPr>
                  <pic:blipFill>
                    <a:blip r:embed="rId29" cstate="print"/>
                    <a:stretch>
                      <a:fillRect/>
                    </a:stretch>
                  </pic:blipFill>
                  <pic:spPr>
                    <a:xfrm>
                      <a:off x="0" y="0"/>
                      <a:ext cx="2470150" cy="1840865"/>
                    </a:xfrm>
                    <a:prstGeom prst="rect">
                      <a:avLst/>
                    </a:prstGeom>
                  </pic:spPr>
                </pic:pic>
              </a:graphicData>
            </a:graphic>
          </wp:inline>
        </w:drawing>
      </w:r>
      <w:r>
        <w:rPr>
          <w:rFonts w:hint="eastAsia"/>
          <w:color w:val="auto"/>
        </w:rPr>
        <w:t xml:space="preserve"> </w:t>
      </w:r>
      <w:r>
        <w:rPr>
          <w:color w:val="auto"/>
        </w:rPr>
        <w:drawing>
          <wp:inline distT="0" distB="0" distL="0" distR="0">
            <wp:extent cx="2446020" cy="1822450"/>
            <wp:effectExtent l="0" t="0" r="4445" b="1905"/>
            <wp:docPr id="1173" name="image49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3" name="image491.jpeg"/>
                    <pic:cNvPicPr>
                      <a:picLocks noChangeAspect="1"/>
                    </pic:cNvPicPr>
                  </pic:nvPicPr>
                  <pic:blipFill>
                    <a:blip r:embed="rId30" cstate="print"/>
                    <a:stretch>
                      <a:fillRect/>
                    </a:stretch>
                  </pic:blipFill>
                  <pic:spPr>
                    <a:xfrm>
                      <a:off x="0" y="0"/>
                      <a:ext cx="2446020" cy="1822450"/>
                    </a:xfrm>
                    <a:prstGeom prst="rect">
                      <a:avLst/>
                    </a:prstGeom>
                  </pic:spPr>
                </pic:pic>
              </a:graphicData>
            </a:graphic>
          </wp:inline>
        </w:drawing>
      </w:r>
    </w:p>
    <w:p w14:paraId="0ACC6F46">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rFonts w:hint="eastAsia"/>
          <w:b/>
          <w:bCs/>
          <w:color w:val="auto"/>
        </w:rPr>
        <w:t>（15）</w:t>
      </w:r>
      <w:r>
        <w:rPr>
          <w:b/>
          <w:bCs/>
          <w:color w:val="auto"/>
        </w:rPr>
        <w:t>雨棚：</w:t>
      </w:r>
      <w:r>
        <w:rPr>
          <w:color w:val="auto"/>
        </w:rPr>
        <w:t>可能存水的小平台，抹灰时均须往外找坡</w:t>
      </w:r>
      <w:r>
        <w:rPr>
          <w:rFonts w:hint="eastAsia"/>
          <w:color w:val="auto"/>
        </w:rPr>
        <w:t>。</w:t>
      </w:r>
      <w:r>
        <w:rPr>
          <w:b/>
          <w:bCs/>
          <w:color w:val="auto"/>
        </w:rPr>
        <w:t>场地清理：</w:t>
      </w:r>
      <w:r>
        <w:rPr>
          <w:color w:val="auto"/>
        </w:rPr>
        <w:t>每日工完场清，现场干净整洁</w:t>
      </w:r>
    </w:p>
    <w:p w14:paraId="5FD597FC">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color w:val="auto"/>
        </w:rPr>
        <w:drawing>
          <wp:inline distT="0" distB="0" distL="0" distR="0">
            <wp:extent cx="2327275" cy="1581150"/>
            <wp:effectExtent l="0" t="0" r="4445" b="5715"/>
            <wp:docPr id="1175" name="image49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5" name="image492.jpeg"/>
                    <pic:cNvPicPr>
                      <a:picLocks noChangeAspect="1"/>
                    </pic:cNvPicPr>
                  </pic:nvPicPr>
                  <pic:blipFill>
                    <a:blip r:embed="rId31" cstate="print"/>
                    <a:stretch>
                      <a:fillRect/>
                    </a:stretch>
                  </pic:blipFill>
                  <pic:spPr>
                    <a:xfrm>
                      <a:off x="0" y="0"/>
                      <a:ext cx="2327275" cy="1581150"/>
                    </a:xfrm>
                    <a:prstGeom prst="rect">
                      <a:avLst/>
                    </a:prstGeom>
                  </pic:spPr>
                </pic:pic>
              </a:graphicData>
            </a:graphic>
          </wp:inline>
        </w:drawing>
      </w:r>
      <w:r>
        <w:rPr>
          <w:rFonts w:hint="eastAsia"/>
          <w:color w:val="auto"/>
        </w:rPr>
        <w:t xml:space="preserve">   </w:t>
      </w:r>
      <w:r>
        <w:rPr>
          <w:color w:val="auto"/>
        </w:rPr>
        <w:drawing>
          <wp:inline distT="0" distB="0" distL="0" distR="0">
            <wp:extent cx="2083435" cy="1555115"/>
            <wp:effectExtent l="0" t="0" r="0" b="10160"/>
            <wp:docPr id="1183" name="image49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 name="image495.jpeg"/>
                    <pic:cNvPicPr>
                      <a:picLocks noChangeAspect="1"/>
                    </pic:cNvPicPr>
                  </pic:nvPicPr>
                  <pic:blipFill>
                    <a:blip r:embed="rId32" cstate="print"/>
                    <a:stretch>
                      <a:fillRect/>
                    </a:stretch>
                  </pic:blipFill>
                  <pic:spPr>
                    <a:xfrm>
                      <a:off x="0" y="0"/>
                      <a:ext cx="2083435" cy="1555115"/>
                    </a:xfrm>
                    <a:prstGeom prst="rect">
                      <a:avLst/>
                    </a:prstGeom>
                  </pic:spPr>
                </pic:pic>
              </a:graphicData>
            </a:graphic>
          </wp:inline>
        </w:drawing>
      </w:r>
    </w:p>
    <w:p w14:paraId="20348A4C">
      <w:pPr>
        <w:keepNext w:val="0"/>
        <w:keepLines w:val="0"/>
        <w:pageBreakBefore w:val="0"/>
        <w:widowControl w:val="0"/>
        <w:kinsoku/>
        <w:wordWrap/>
        <w:overflowPunct/>
        <w:topLinePunct w:val="0"/>
        <w:autoSpaceDE/>
        <w:autoSpaceDN/>
        <w:bidi w:val="0"/>
        <w:spacing w:line="240" w:lineRule="auto"/>
        <w:jc w:val="both"/>
        <w:textAlignment w:val="auto"/>
        <w:rPr>
          <w:color w:val="auto"/>
        </w:rPr>
      </w:pPr>
      <w:r>
        <w:rPr>
          <w:rFonts w:hint="eastAsia"/>
          <w:color w:val="auto"/>
        </w:rPr>
        <w:t>（16）</w:t>
      </w:r>
      <w:r>
        <w:rPr>
          <w:color w:val="auto"/>
        </w:rPr>
        <w:t>女儿墙压顶流水坡度应向内，坡度不应小于 6%。女儿墙压顶内侧下端应做鹰嘴或滴水线处理。</w:t>
      </w:r>
    </w:p>
    <w:p w14:paraId="1AAA40BB">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color w:val="auto"/>
        </w:rPr>
        <w:drawing>
          <wp:inline distT="0" distB="0" distL="0" distR="0">
            <wp:extent cx="2192020" cy="1553845"/>
            <wp:effectExtent l="0" t="0" r="10160" b="635"/>
            <wp:docPr id="1363" name="image56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3" name="image566.jpeg"/>
                    <pic:cNvPicPr>
                      <a:picLocks noChangeAspect="1"/>
                    </pic:cNvPicPr>
                  </pic:nvPicPr>
                  <pic:blipFill>
                    <a:blip r:embed="rId33" cstate="print"/>
                    <a:stretch>
                      <a:fillRect/>
                    </a:stretch>
                  </pic:blipFill>
                  <pic:spPr>
                    <a:xfrm>
                      <a:off x="0" y="0"/>
                      <a:ext cx="2192020" cy="1553845"/>
                    </a:xfrm>
                    <a:prstGeom prst="rect">
                      <a:avLst/>
                    </a:prstGeom>
                  </pic:spPr>
                </pic:pic>
              </a:graphicData>
            </a:graphic>
          </wp:inline>
        </w:drawing>
      </w:r>
      <w:r>
        <w:rPr>
          <w:rFonts w:hint="eastAsia"/>
          <w:color w:val="auto"/>
        </w:rPr>
        <w:t xml:space="preserve">   </w:t>
      </w:r>
      <w:r>
        <w:rPr>
          <w:color w:val="auto"/>
        </w:rPr>
        <w:drawing>
          <wp:inline distT="0" distB="0" distL="0" distR="0">
            <wp:extent cx="2199640" cy="1510665"/>
            <wp:effectExtent l="0" t="0" r="2540" b="635"/>
            <wp:docPr id="1365" name="image5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5" name="image567.png"/>
                    <pic:cNvPicPr>
                      <a:picLocks noChangeAspect="1"/>
                    </pic:cNvPicPr>
                  </pic:nvPicPr>
                  <pic:blipFill>
                    <a:blip r:embed="rId34" cstate="print"/>
                    <a:stretch>
                      <a:fillRect/>
                    </a:stretch>
                  </pic:blipFill>
                  <pic:spPr>
                    <a:xfrm>
                      <a:off x="0" y="0"/>
                      <a:ext cx="2199640" cy="1510665"/>
                    </a:xfrm>
                    <a:prstGeom prst="rect">
                      <a:avLst/>
                    </a:prstGeom>
                  </pic:spPr>
                </pic:pic>
              </a:graphicData>
            </a:graphic>
          </wp:inline>
        </w:drawing>
      </w:r>
      <w:r>
        <w:rPr>
          <w:rFonts w:hint="eastAsia"/>
          <w:color w:val="auto"/>
        </w:rPr>
        <w:t xml:space="preserve"> </w:t>
      </w:r>
    </w:p>
    <w:p w14:paraId="1082057A">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color w:val="auto"/>
        </w:rPr>
      </w:pPr>
      <w:r>
        <w:rPr>
          <w:color w:val="auto"/>
        </w:rPr>
        <w:drawing>
          <wp:inline distT="0" distB="0" distL="0" distR="0">
            <wp:extent cx="2224405" cy="1996440"/>
            <wp:effectExtent l="0" t="0" r="10160" b="635"/>
            <wp:docPr id="1371" name="image56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1" name="image569.jpeg"/>
                    <pic:cNvPicPr>
                      <a:picLocks noChangeAspect="1"/>
                    </pic:cNvPicPr>
                  </pic:nvPicPr>
                  <pic:blipFill>
                    <a:blip r:embed="rId35" cstate="print"/>
                    <a:srcRect b="6502"/>
                    <a:stretch>
                      <a:fillRect/>
                    </a:stretch>
                  </pic:blipFill>
                  <pic:spPr>
                    <a:xfrm>
                      <a:off x="0" y="0"/>
                      <a:ext cx="2224405" cy="1996440"/>
                    </a:xfrm>
                    <a:prstGeom prst="rect">
                      <a:avLst/>
                    </a:prstGeom>
                  </pic:spPr>
                </pic:pic>
              </a:graphicData>
            </a:graphic>
          </wp:inline>
        </w:drawing>
      </w:r>
      <w:r>
        <w:rPr>
          <w:rFonts w:hint="eastAsia"/>
          <w:color w:val="auto"/>
        </w:rPr>
        <w:t xml:space="preserve">   </w:t>
      </w:r>
      <w:r>
        <w:rPr>
          <w:color w:val="auto"/>
        </w:rPr>
        <w:drawing>
          <wp:inline distT="0" distB="0" distL="0" distR="0">
            <wp:extent cx="2212975" cy="2018030"/>
            <wp:effectExtent l="0" t="0" r="0" b="635"/>
            <wp:docPr id="1377" name="image57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7" name="image572.jpeg"/>
                    <pic:cNvPicPr>
                      <a:picLocks noChangeAspect="1"/>
                    </pic:cNvPicPr>
                  </pic:nvPicPr>
                  <pic:blipFill>
                    <a:blip r:embed="rId36" cstate="print"/>
                    <a:stretch>
                      <a:fillRect/>
                    </a:stretch>
                  </pic:blipFill>
                  <pic:spPr>
                    <a:xfrm>
                      <a:off x="0" y="0"/>
                      <a:ext cx="2212975" cy="2018030"/>
                    </a:xfrm>
                    <a:prstGeom prst="rect">
                      <a:avLst/>
                    </a:prstGeom>
                  </pic:spPr>
                </pic:pic>
              </a:graphicData>
            </a:graphic>
          </wp:inline>
        </w:drawing>
      </w:r>
    </w:p>
    <w:p w14:paraId="1126BE5D">
      <w:pPr>
        <w:keepNext w:val="0"/>
        <w:keepLines w:val="0"/>
        <w:pageBreakBefore w:val="0"/>
        <w:widowControl w:val="0"/>
        <w:numPr>
          <w:ilvl w:val="0"/>
          <w:numId w:val="0"/>
        </w:numPr>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二．钢筋部分</w:t>
      </w:r>
      <w:r>
        <w:rPr>
          <w:rFonts w:hint="eastAsia" w:hAnsi="宋体" w:cs="宋体"/>
          <w:color w:val="auto"/>
          <w:kern w:val="2"/>
          <w:sz w:val="28"/>
          <w:szCs w:val="28"/>
          <w:lang w:bidi="ar"/>
        </w:rPr>
        <w:t>工作内容及技术要求（</w:t>
      </w:r>
      <w:r>
        <w:rPr>
          <w:rFonts w:hint="eastAsia" w:hAnsi="宋体" w:cs="宋体"/>
          <w:color w:val="auto"/>
          <w:kern w:val="2"/>
          <w:sz w:val="28"/>
          <w:szCs w:val="28"/>
          <w:lang w:val="en-US" w:eastAsia="zh-CN" w:bidi="ar"/>
        </w:rPr>
        <w:t>以下</w:t>
      </w:r>
      <w:r>
        <w:rPr>
          <w:rFonts w:hint="eastAsia" w:hAnsi="宋体" w:cs="宋体"/>
          <w:color w:val="auto"/>
          <w:kern w:val="2"/>
          <w:sz w:val="28"/>
          <w:szCs w:val="28"/>
          <w:lang w:bidi="ar"/>
        </w:rPr>
        <w:t>所有工作均包含在投标报价内，不另计费用）</w:t>
      </w:r>
      <w:r>
        <w:rPr>
          <w:rFonts w:hint="eastAsia" w:hAnsi="宋体" w:cs="宋体"/>
          <w:color w:val="auto"/>
          <w:kern w:val="2"/>
          <w:sz w:val="28"/>
          <w:szCs w:val="28"/>
          <w:lang w:eastAsia="zh-CN" w:bidi="ar"/>
        </w:rPr>
        <w:t>：</w:t>
      </w:r>
    </w:p>
    <w:p w14:paraId="1E298A26">
      <w:pPr>
        <w:keepNext w:val="0"/>
        <w:keepLines w:val="0"/>
        <w:pageBreakBefore w:val="0"/>
        <w:widowControl w:val="0"/>
        <w:numPr>
          <w:ilvl w:val="0"/>
          <w:numId w:val="0"/>
        </w:numPr>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w:t>
      </w:r>
      <w:r>
        <w:rPr>
          <w:rFonts w:hint="eastAsia" w:hAnsi="宋体" w:cs="宋体"/>
          <w:color w:val="auto"/>
          <w:kern w:val="2"/>
          <w:sz w:val="28"/>
          <w:szCs w:val="28"/>
          <w:lang w:bidi="ar"/>
        </w:rPr>
        <w:t>主体结构及二次结构（</w:t>
      </w:r>
      <w:r>
        <w:rPr>
          <w:rFonts w:hint="eastAsia" w:hAnsi="宋体" w:cs="宋体"/>
          <w:color w:val="auto"/>
          <w:kern w:val="2"/>
          <w:sz w:val="28"/>
          <w:szCs w:val="28"/>
          <w:highlight w:val="yellow"/>
          <w:lang w:bidi="ar"/>
        </w:rPr>
        <w:t>包括塔吊基础、人货电梯基础、物料提升机基础、地磅基础、砂浆罐、水泥罐基础）</w:t>
      </w:r>
      <w:r>
        <w:rPr>
          <w:rFonts w:hint="eastAsia" w:hAnsi="宋体" w:cs="宋体"/>
          <w:color w:val="auto"/>
          <w:kern w:val="2"/>
          <w:sz w:val="28"/>
          <w:szCs w:val="28"/>
          <w:lang w:bidi="ar"/>
        </w:rPr>
        <w:t>钢筋编制料单、钢筋除锈、钢筋制作、绑扎、预埋铁件制作安装、水平闪光对焊、（单）双边电焊、电渣压力焊、气体保护焊；原材料就位、半成品和成品料的堆放挂牌标识；钢筋直螺纹套筒安装、套丝制作（套丝前原材料钢筋必须切平</w:t>
      </w:r>
      <w:r>
        <w:rPr>
          <w:rFonts w:hint="eastAsia" w:hAnsi="宋体" w:cs="宋体"/>
          <w:color w:val="auto"/>
          <w:kern w:val="2"/>
          <w:sz w:val="28"/>
          <w:szCs w:val="28"/>
          <w:lang w:eastAsia="zh-CN" w:bidi="ar"/>
        </w:rPr>
        <w:t>，</w:t>
      </w:r>
      <w:r>
        <w:rPr>
          <w:rFonts w:hint="eastAsia" w:hAnsi="宋体" w:cs="宋体"/>
          <w:color w:val="auto"/>
          <w:kern w:val="2"/>
          <w:sz w:val="28"/>
          <w:szCs w:val="28"/>
          <w:lang w:val="en-US" w:eastAsia="zh-CN" w:bidi="ar"/>
        </w:rPr>
        <w:t>套丝端部成品保护</w:t>
      </w:r>
      <w:r>
        <w:rPr>
          <w:rFonts w:hint="eastAsia" w:hAnsi="宋体" w:cs="宋体"/>
          <w:color w:val="auto"/>
          <w:kern w:val="2"/>
          <w:sz w:val="28"/>
          <w:szCs w:val="28"/>
          <w:lang w:bidi="ar"/>
        </w:rPr>
        <w:t>）、直螺纹套筒连接（含套筒材料）、电渣压力焊及焊药；拉墙筋和压顶等二次结构植筋（打孔预埋和后期植筋，含植筋人工、小型机械、植筋胶、辅材及检测费用等）及构造柱的绑扎安装、压顶、圈梁、过梁、反坎等施工；马凳制作安装、定位筋、垫块</w:t>
      </w:r>
      <w:r>
        <w:rPr>
          <w:rFonts w:hint="eastAsia" w:hAnsi="宋体" w:cs="宋体"/>
          <w:color w:val="auto"/>
          <w:kern w:val="2"/>
          <w:sz w:val="28"/>
          <w:szCs w:val="28"/>
          <w:lang w:eastAsia="zh-CN" w:bidi="ar"/>
        </w:rPr>
        <w:t>（</w:t>
      </w:r>
      <w:r>
        <w:rPr>
          <w:rFonts w:hint="eastAsia" w:hAnsi="宋体" w:cs="宋体"/>
          <w:color w:val="auto"/>
          <w:kern w:val="2"/>
          <w:sz w:val="28"/>
          <w:szCs w:val="28"/>
          <w:lang w:val="en-US" w:eastAsia="zh-CN" w:bidi="ar"/>
        </w:rPr>
        <w:t>含墙柱梁板梯</w:t>
      </w:r>
      <w:r>
        <w:rPr>
          <w:rFonts w:hint="eastAsia" w:hAnsi="宋体" w:cs="宋体"/>
          <w:color w:val="auto"/>
          <w:kern w:val="2"/>
          <w:sz w:val="28"/>
          <w:szCs w:val="28"/>
          <w:lang w:eastAsia="zh-CN" w:bidi="ar"/>
        </w:rPr>
        <w:t>）</w:t>
      </w:r>
      <w:r>
        <w:rPr>
          <w:rFonts w:hint="eastAsia" w:hAnsi="宋体" w:cs="宋体"/>
          <w:color w:val="auto"/>
          <w:kern w:val="2"/>
          <w:sz w:val="28"/>
          <w:szCs w:val="28"/>
          <w:lang w:bidi="ar"/>
        </w:rPr>
        <w:t>的提供与安装（使用成品马凳筋）；屋面及地下室顶板抗裂钢筋网片的绑扎、</w:t>
      </w:r>
      <w:r>
        <w:rPr>
          <w:rFonts w:hint="eastAsia" w:hAnsi="宋体" w:cs="宋体"/>
          <w:color w:val="auto"/>
          <w:kern w:val="2"/>
          <w:sz w:val="28"/>
          <w:szCs w:val="28"/>
          <w:lang w:val="en-US" w:eastAsia="zh-CN" w:bidi="ar"/>
        </w:rPr>
        <w:t>洞口</w:t>
      </w:r>
      <w:r>
        <w:rPr>
          <w:rFonts w:hint="eastAsia" w:hAnsi="宋体" w:cs="宋体"/>
          <w:color w:val="auto"/>
          <w:kern w:val="2"/>
          <w:sz w:val="28"/>
          <w:szCs w:val="28"/>
          <w:lang w:bidi="ar"/>
        </w:rPr>
        <w:t>钢筋网片防护的安装及割除</w:t>
      </w:r>
      <w:r>
        <w:rPr>
          <w:rFonts w:hint="eastAsia" w:hAnsi="宋体" w:cs="宋体"/>
          <w:color w:val="auto"/>
          <w:kern w:val="2"/>
          <w:sz w:val="28"/>
          <w:szCs w:val="28"/>
          <w:lang w:val="en-US" w:eastAsia="zh-CN" w:bidi="ar"/>
        </w:rPr>
        <w:t>清理至指定地点</w:t>
      </w:r>
      <w:r>
        <w:rPr>
          <w:rFonts w:hint="eastAsia" w:hAnsi="宋体" w:cs="宋体"/>
          <w:color w:val="auto"/>
          <w:kern w:val="2"/>
          <w:sz w:val="28"/>
          <w:szCs w:val="28"/>
          <w:lang w:bidi="ar"/>
        </w:rPr>
        <w:t>、点焊固定等（电梯井、采光井等处）；梁柱节点处焊接短钢筋并使用钢丝网绑扎进行梁柱节点高低标号砼分隔</w:t>
      </w:r>
      <w:r>
        <w:rPr>
          <w:rFonts w:hint="eastAsia" w:hAnsi="宋体" w:cs="宋体"/>
          <w:color w:val="auto"/>
          <w:kern w:val="2"/>
          <w:sz w:val="28"/>
          <w:szCs w:val="28"/>
          <w:lang w:eastAsia="zh-CN" w:bidi="ar"/>
        </w:rPr>
        <w:t>（</w:t>
      </w:r>
      <w:r>
        <w:rPr>
          <w:rFonts w:hint="eastAsia" w:hAnsi="宋体" w:cs="宋体"/>
          <w:color w:val="auto"/>
          <w:kern w:val="2"/>
          <w:sz w:val="28"/>
          <w:szCs w:val="28"/>
          <w:lang w:val="en-US" w:eastAsia="zh-CN" w:bidi="ar"/>
        </w:rPr>
        <w:t>包工包料</w:t>
      </w:r>
      <w:r>
        <w:rPr>
          <w:rFonts w:hint="eastAsia" w:hAnsi="宋体" w:cs="宋体"/>
          <w:color w:val="auto"/>
          <w:kern w:val="2"/>
          <w:sz w:val="28"/>
          <w:szCs w:val="28"/>
          <w:lang w:eastAsia="zh-CN" w:bidi="ar"/>
        </w:rPr>
        <w:t>）</w:t>
      </w:r>
      <w:r>
        <w:rPr>
          <w:rFonts w:hint="eastAsia" w:hAnsi="宋体" w:cs="宋体"/>
          <w:color w:val="auto"/>
          <w:kern w:val="2"/>
          <w:sz w:val="28"/>
          <w:szCs w:val="28"/>
          <w:lang w:bidi="ar"/>
        </w:rPr>
        <w:t>；现场排水沟盖板钢筋的绑扎或者焊接；余（废）料回收利用、工完场清；施工部位钢筋表面清理及保护；钢筋加工棚更换场地</w:t>
      </w:r>
      <w:r>
        <w:rPr>
          <w:rFonts w:hint="eastAsia" w:hAnsi="宋体" w:cs="宋体"/>
          <w:color w:val="auto"/>
          <w:kern w:val="2"/>
          <w:sz w:val="28"/>
          <w:szCs w:val="28"/>
          <w:lang w:val="en-US" w:eastAsia="zh-CN" w:bidi="ar"/>
        </w:rPr>
        <w:t>三次以内</w:t>
      </w:r>
      <w:r>
        <w:rPr>
          <w:rFonts w:hint="eastAsia" w:hAnsi="宋体" w:cs="宋体"/>
          <w:color w:val="auto"/>
          <w:kern w:val="2"/>
          <w:sz w:val="28"/>
          <w:szCs w:val="28"/>
          <w:lang w:bidi="ar"/>
        </w:rPr>
        <w:t>；配合各专业洞口钢筋的移动、复位和加强；钢筋原材料及成型钢筋的水平垂直运输及二次搬运等塔吊未覆盖区域由投标人自行处理；原材料进场后下货人工配合（无论招标人采用塔吊或吊车下货，中标人均需安排人工无偿配合下货）；每层钢筋绑扎完毕，必须把多余钢筋按规格、型号放入钢筋棚或指定地点堆放整齐，下个作业面把它用完，不得放置在外架和工作面上影响安全文明施工；若发现变为废料，由投标人承担经济损失，保证工完场清，一次性验收；若不能一次性通过验收，投标人需承担返工责任直至保证验收通过，并接受招标人的处罚；所有钢筋试验、检测所需的试件投标人须无偿配合提供；风井、电梯等洞口钢筋网片防护的制作、安装、割除、电焊固定；同条件试块钢筋笼的制作；止水钢板</w:t>
      </w:r>
      <w:r>
        <w:rPr>
          <w:rFonts w:hint="eastAsia" w:hAnsi="宋体" w:cs="宋体"/>
          <w:color w:val="auto"/>
          <w:kern w:val="2"/>
          <w:sz w:val="28"/>
          <w:szCs w:val="28"/>
          <w:lang w:eastAsia="zh-CN" w:bidi="ar"/>
        </w:rPr>
        <w:t>（</w:t>
      </w:r>
      <w:r>
        <w:rPr>
          <w:rFonts w:hint="eastAsia" w:hAnsi="宋体" w:cs="宋体"/>
          <w:color w:val="auto"/>
          <w:kern w:val="2"/>
          <w:sz w:val="28"/>
          <w:szCs w:val="28"/>
          <w:lang w:val="en-US" w:eastAsia="zh-CN" w:bidi="ar"/>
        </w:rPr>
        <w:t>招标人提供</w:t>
      </w:r>
      <w:r>
        <w:rPr>
          <w:rFonts w:hint="eastAsia" w:hAnsi="宋体" w:cs="宋体"/>
          <w:color w:val="auto"/>
          <w:kern w:val="2"/>
          <w:sz w:val="28"/>
          <w:szCs w:val="28"/>
          <w:lang w:eastAsia="zh-CN" w:bidi="ar"/>
        </w:rPr>
        <w:t>）</w:t>
      </w:r>
      <w:r>
        <w:rPr>
          <w:rFonts w:hint="eastAsia" w:hAnsi="宋体" w:cs="宋体"/>
          <w:color w:val="auto"/>
          <w:kern w:val="2"/>
          <w:sz w:val="28"/>
          <w:szCs w:val="28"/>
          <w:lang w:bidi="ar"/>
        </w:rPr>
        <w:t>及止水带制安，止水钢板转角</w:t>
      </w:r>
      <w:r>
        <w:rPr>
          <w:rFonts w:hint="eastAsia" w:hAnsi="宋体" w:cs="宋体"/>
          <w:color w:val="auto"/>
          <w:kern w:val="2"/>
          <w:sz w:val="28"/>
          <w:szCs w:val="28"/>
          <w:highlight w:val="yellow"/>
          <w:lang w:bidi="ar"/>
        </w:rPr>
        <w:t>采用成品配件</w:t>
      </w:r>
      <w:r>
        <w:rPr>
          <w:rFonts w:hint="eastAsia" w:hAnsi="宋体" w:cs="宋体"/>
          <w:color w:val="auto"/>
          <w:kern w:val="2"/>
          <w:sz w:val="28"/>
          <w:szCs w:val="28"/>
          <w:highlight w:val="yellow"/>
          <w:lang w:val="en-US" w:eastAsia="zh-CN" w:bidi="ar"/>
        </w:rPr>
        <w:t>现场提供制作</w:t>
      </w:r>
      <w:r>
        <w:rPr>
          <w:rFonts w:hint="eastAsia" w:hAnsi="宋体" w:cs="宋体"/>
          <w:color w:val="auto"/>
          <w:kern w:val="2"/>
          <w:sz w:val="28"/>
          <w:szCs w:val="28"/>
          <w:lang w:bidi="ar"/>
        </w:rPr>
        <w:t>；人防门吊钩、电梯吊钩、预埋铁件的制作及预埋（材料由项目提供）。招标人提供</w:t>
      </w:r>
      <w:r>
        <w:rPr>
          <w:rFonts w:hint="eastAsia" w:hAnsi="宋体" w:cs="宋体"/>
          <w:color w:val="auto"/>
          <w:kern w:val="2"/>
          <w:sz w:val="28"/>
          <w:szCs w:val="28"/>
          <w:lang w:val="en-US" w:eastAsia="zh-CN" w:bidi="ar"/>
        </w:rPr>
        <w:t>的</w:t>
      </w:r>
      <w:r>
        <w:rPr>
          <w:rFonts w:hint="eastAsia" w:hAnsi="宋体" w:cs="宋体"/>
          <w:color w:val="auto"/>
          <w:kern w:val="2"/>
          <w:sz w:val="28"/>
          <w:szCs w:val="28"/>
          <w:lang w:bidi="ar"/>
        </w:rPr>
        <w:t>控制轴线及高程并对此准确性负责，其余放线由投标人负责，每道工序完成后报招标人复核签字、与本分包项相关场内材料在施工期间内的卸车装车工作、</w:t>
      </w:r>
      <w:r>
        <w:rPr>
          <w:rFonts w:hint="eastAsia" w:hAnsi="宋体" w:cs="宋体"/>
          <w:color w:val="auto"/>
          <w:kern w:val="2"/>
          <w:sz w:val="28"/>
          <w:szCs w:val="28"/>
          <w:highlight w:val="yellow"/>
          <w:lang w:bidi="ar"/>
        </w:rPr>
        <w:t>承担员工人身意外伤害保险费用</w:t>
      </w:r>
      <w:r>
        <w:rPr>
          <w:rFonts w:hint="eastAsia" w:hAnsi="宋体" w:cs="宋体"/>
          <w:color w:val="auto"/>
          <w:kern w:val="2"/>
          <w:sz w:val="28"/>
          <w:szCs w:val="28"/>
          <w:highlight w:val="yellow"/>
          <w:lang w:eastAsia="zh-CN" w:bidi="ar"/>
        </w:rPr>
        <w:t>，</w:t>
      </w:r>
      <w:r>
        <w:rPr>
          <w:rFonts w:hint="eastAsia" w:hAnsi="宋体" w:cs="宋体"/>
          <w:color w:val="auto"/>
          <w:kern w:val="2"/>
          <w:sz w:val="28"/>
          <w:szCs w:val="28"/>
          <w:highlight w:val="yellow"/>
          <w:lang w:val="en-US" w:eastAsia="zh-CN" w:bidi="ar"/>
        </w:rPr>
        <w:t>由项目部统一采购，费用各参建班组按比例分摊</w:t>
      </w:r>
      <w:r>
        <w:rPr>
          <w:rFonts w:hint="eastAsia" w:hAnsi="宋体" w:cs="宋体"/>
          <w:color w:val="auto"/>
          <w:kern w:val="2"/>
          <w:sz w:val="28"/>
          <w:szCs w:val="28"/>
          <w:lang w:bidi="ar"/>
        </w:rPr>
        <w:t>。</w:t>
      </w:r>
    </w:p>
    <w:p w14:paraId="561FF981">
      <w:pPr>
        <w:keepNext w:val="0"/>
        <w:keepLines w:val="0"/>
        <w:pageBreakBefore w:val="0"/>
        <w:widowControl w:val="0"/>
        <w:numPr>
          <w:ilvl w:val="0"/>
          <w:numId w:val="0"/>
        </w:numPr>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2、</w:t>
      </w:r>
      <w:r>
        <w:rPr>
          <w:rFonts w:hint="eastAsia" w:hAnsi="宋体" w:cs="宋体"/>
          <w:color w:val="auto"/>
          <w:kern w:val="2"/>
          <w:sz w:val="28"/>
          <w:szCs w:val="28"/>
          <w:lang w:bidi="ar"/>
        </w:rPr>
        <w:t>制作机械的安装和保养、操作台的安装工作、与本分包项相关场内材料在施工期间内的卸车装车工作；</w:t>
      </w:r>
    </w:p>
    <w:p w14:paraId="17B47B2E">
      <w:pPr>
        <w:keepNext w:val="0"/>
        <w:keepLines w:val="0"/>
        <w:pageBreakBefore w:val="0"/>
        <w:widowControl w:val="0"/>
        <w:numPr>
          <w:ilvl w:val="0"/>
          <w:numId w:val="0"/>
        </w:numPr>
        <w:kinsoku/>
        <w:wordWrap/>
        <w:overflowPunct/>
        <w:topLinePunct w:val="0"/>
        <w:autoSpaceDE/>
        <w:autoSpaceDN/>
        <w:bidi w:val="0"/>
        <w:spacing w:line="240" w:lineRule="auto"/>
        <w:jc w:val="both"/>
        <w:textAlignment w:val="auto"/>
        <w:rPr>
          <w:rFonts w:hint="eastAsia" w:hAnsi="宋体" w:eastAsia="宋体" w:cs="宋体"/>
          <w:color w:val="auto"/>
          <w:kern w:val="2"/>
          <w:sz w:val="28"/>
          <w:szCs w:val="28"/>
          <w:lang w:val="en-US" w:eastAsia="zh-CN" w:bidi="ar"/>
        </w:rPr>
      </w:pPr>
      <w:r>
        <w:rPr>
          <w:rFonts w:hint="eastAsia" w:hAnsi="宋体" w:cs="宋体"/>
          <w:color w:val="auto"/>
          <w:kern w:val="2"/>
          <w:sz w:val="28"/>
          <w:szCs w:val="28"/>
          <w:lang w:val="en-US" w:eastAsia="zh-CN" w:bidi="ar"/>
        </w:rPr>
        <w:t>3、</w:t>
      </w:r>
      <w:r>
        <w:rPr>
          <w:rFonts w:hint="eastAsia" w:hAnsi="宋体" w:cs="宋体"/>
          <w:color w:val="auto"/>
          <w:kern w:val="2"/>
          <w:sz w:val="28"/>
          <w:szCs w:val="28"/>
          <w:lang w:bidi="ar"/>
        </w:rPr>
        <w:t>劳保用品、安全施工防护用品、统一生活用品的所有费用（包含统一的安全帽、安全带、工作服、雨衣、雨鞋、胶手套、绝缘手套、胸卡等）</w:t>
      </w:r>
      <w:r>
        <w:rPr>
          <w:rFonts w:hint="eastAsia" w:hAnsi="宋体" w:cs="宋体"/>
          <w:color w:val="auto"/>
          <w:kern w:val="2"/>
          <w:sz w:val="28"/>
          <w:szCs w:val="28"/>
          <w:lang w:eastAsia="zh-CN" w:bidi="ar"/>
        </w:rPr>
        <w:t>，</w:t>
      </w:r>
      <w:r>
        <w:rPr>
          <w:rFonts w:hint="eastAsia" w:hAnsi="宋体" w:cs="宋体"/>
          <w:color w:val="auto"/>
          <w:sz w:val="28"/>
          <w:szCs w:val="28"/>
          <w:highlight w:val="yellow"/>
        </w:rPr>
        <w:t>安全帽、安全带由招标人统一采购，费用根据投标人领用数量</w:t>
      </w:r>
      <w:r>
        <w:rPr>
          <w:rFonts w:hint="default" w:hAnsi="宋体" w:cs="宋体"/>
          <w:color w:val="auto"/>
          <w:sz w:val="28"/>
          <w:szCs w:val="28"/>
          <w:highlight w:val="yellow"/>
        </w:rPr>
        <w:t>按时扣除</w:t>
      </w:r>
      <w:r>
        <w:rPr>
          <w:rFonts w:hint="eastAsia" w:hAnsi="宋体" w:cs="宋体"/>
          <w:color w:val="auto"/>
          <w:sz w:val="28"/>
          <w:szCs w:val="28"/>
          <w:highlight w:val="yellow"/>
          <w:lang w:eastAsia="zh-CN"/>
        </w:rPr>
        <w:t>。</w:t>
      </w:r>
    </w:p>
    <w:p w14:paraId="3483E520">
      <w:pPr>
        <w:keepNext w:val="0"/>
        <w:keepLines w:val="0"/>
        <w:pageBreakBefore w:val="0"/>
        <w:widowControl w:val="0"/>
        <w:numPr>
          <w:ilvl w:val="0"/>
          <w:numId w:val="0"/>
        </w:numPr>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4、</w:t>
      </w:r>
      <w:r>
        <w:rPr>
          <w:rFonts w:hint="eastAsia" w:hAnsi="宋体" w:cs="宋体"/>
          <w:color w:val="auto"/>
          <w:kern w:val="2"/>
          <w:sz w:val="28"/>
          <w:szCs w:val="28"/>
          <w:lang w:bidi="ar"/>
        </w:rPr>
        <w:t>施工中用的辅材：钉子、铁丝、扎丝、垫块、铅笔、粉笔、石笔、皮尺、棉纱、长毛刷、砂轮片、锯条、切割片、角磨机、焊条、焊药、植筋胶</w:t>
      </w:r>
      <w:r>
        <w:rPr>
          <w:rFonts w:hint="eastAsia" w:hAnsi="宋体" w:cs="宋体"/>
          <w:color w:val="auto"/>
          <w:kern w:val="2"/>
          <w:sz w:val="28"/>
          <w:szCs w:val="28"/>
          <w:lang w:eastAsia="zh-CN" w:bidi="ar"/>
        </w:rPr>
        <w:t>、</w:t>
      </w:r>
      <w:r>
        <w:rPr>
          <w:rFonts w:hint="eastAsia" w:hAnsi="宋体" w:cs="宋体"/>
          <w:color w:val="auto"/>
          <w:kern w:val="2"/>
          <w:sz w:val="28"/>
          <w:szCs w:val="28"/>
          <w:lang w:val="en-US" w:eastAsia="zh-CN" w:bidi="ar"/>
        </w:rPr>
        <w:t>直螺纹套筒</w:t>
      </w:r>
      <w:r>
        <w:rPr>
          <w:rFonts w:hint="eastAsia" w:hAnsi="宋体" w:cs="宋体"/>
          <w:color w:val="auto"/>
          <w:kern w:val="2"/>
          <w:sz w:val="28"/>
          <w:szCs w:val="28"/>
          <w:lang w:bidi="ar"/>
        </w:rPr>
        <w:t>及本劳务所需的任何辅材等。</w:t>
      </w:r>
    </w:p>
    <w:p w14:paraId="339B9EBD">
      <w:pPr>
        <w:keepNext w:val="0"/>
        <w:keepLines w:val="0"/>
        <w:pageBreakBefore w:val="0"/>
        <w:widowControl w:val="0"/>
        <w:numPr>
          <w:ilvl w:val="0"/>
          <w:numId w:val="0"/>
        </w:numPr>
        <w:kinsoku/>
        <w:wordWrap/>
        <w:overflowPunct/>
        <w:topLinePunct w:val="0"/>
        <w:autoSpaceDE/>
        <w:autoSpaceDN/>
        <w:bidi w:val="0"/>
        <w:spacing w:line="240" w:lineRule="auto"/>
        <w:jc w:val="both"/>
        <w:textAlignment w:val="auto"/>
        <w:rPr>
          <w:rFonts w:hint="eastAsia" w:hAnsi="宋体" w:eastAsia="宋体" w:cs="宋体"/>
          <w:color w:val="auto"/>
          <w:kern w:val="2"/>
          <w:sz w:val="28"/>
          <w:szCs w:val="28"/>
          <w:lang w:val="en-US" w:eastAsia="zh-CN" w:bidi="ar"/>
        </w:rPr>
      </w:pPr>
      <w:r>
        <w:rPr>
          <w:rFonts w:hint="eastAsia" w:hAnsi="宋体" w:cs="宋体"/>
          <w:color w:val="auto"/>
          <w:kern w:val="2"/>
          <w:sz w:val="28"/>
          <w:szCs w:val="28"/>
          <w:lang w:val="en-US" w:eastAsia="zh-CN" w:bidi="ar"/>
        </w:rPr>
        <w:t>5、</w:t>
      </w:r>
      <w:r>
        <w:rPr>
          <w:rFonts w:hint="eastAsia" w:hAnsi="宋体" w:cs="宋体"/>
          <w:color w:val="auto"/>
          <w:kern w:val="2"/>
          <w:sz w:val="28"/>
          <w:szCs w:val="28"/>
          <w:lang w:bidi="ar"/>
        </w:rPr>
        <w:t>施工中的小型机械及手头工具：含套筒直螺纹制作机、调直机、弯曲机、切断机、对焊机、弯箍机及二级箱以下的电线、电缆和移动配电箱、手提电钻、手提小吹风机、角磨机、榔头、扳子、钢筋剪钳、大锤、大小钢尺、钢锯、套筒扳子、手电筒、电笔、垫块、测量设备等。</w:t>
      </w:r>
      <w:r>
        <w:rPr>
          <w:rFonts w:hint="eastAsia" w:hAnsi="宋体" w:cs="宋体"/>
          <w:color w:val="auto"/>
          <w:kern w:val="2"/>
          <w:sz w:val="28"/>
          <w:szCs w:val="28"/>
          <w:highlight w:val="green"/>
          <w:lang w:bidi="ar"/>
        </w:rPr>
        <w:t>机械设备进场必须提前报备并通过验收合格后，方可使用</w:t>
      </w:r>
      <w:r>
        <w:rPr>
          <w:rFonts w:hint="eastAsia" w:hAnsi="宋体" w:cs="宋体"/>
          <w:color w:val="auto"/>
          <w:kern w:val="2"/>
          <w:sz w:val="28"/>
          <w:szCs w:val="28"/>
          <w:highlight w:val="green"/>
          <w:lang w:eastAsia="zh-CN" w:bidi="ar"/>
        </w:rPr>
        <w:t>。</w:t>
      </w:r>
    </w:p>
    <w:p w14:paraId="5170C547">
      <w:pPr>
        <w:keepNext w:val="0"/>
        <w:keepLines w:val="0"/>
        <w:pageBreakBefore w:val="0"/>
        <w:widowControl w:val="0"/>
        <w:numPr>
          <w:ilvl w:val="0"/>
          <w:numId w:val="0"/>
        </w:numPr>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6、</w:t>
      </w:r>
      <w:r>
        <w:rPr>
          <w:rFonts w:hint="eastAsia" w:hAnsi="宋体" w:cs="宋体"/>
          <w:color w:val="auto"/>
          <w:kern w:val="2"/>
          <w:sz w:val="28"/>
          <w:szCs w:val="28"/>
          <w:lang w:bidi="ar"/>
        </w:rPr>
        <w:t>若投标人在施工过程中导致安全网、挑平网、密目网等的污染、破损，需及时恢复、更换，并承担相应的材料费、人工费，否则招标人有权安排他人施工，并按照1.5倍扣除投标人。因投标人施工过程中散落在挑平网、外挑架防护上的垃圾、材料等，应及时清理干净，否则招标人有权安排他人施工，并按照1.5倍扣除投标人。</w:t>
      </w:r>
    </w:p>
    <w:p w14:paraId="56C8502D">
      <w:pPr>
        <w:keepNext w:val="0"/>
        <w:keepLines w:val="0"/>
        <w:pageBreakBefore w:val="0"/>
        <w:widowControl w:val="0"/>
        <w:numPr>
          <w:ilvl w:val="0"/>
          <w:numId w:val="0"/>
        </w:numPr>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7、</w:t>
      </w:r>
      <w:r>
        <w:rPr>
          <w:rFonts w:hint="eastAsia" w:hAnsi="宋体" w:cs="宋体"/>
          <w:color w:val="auto"/>
          <w:kern w:val="2"/>
          <w:sz w:val="28"/>
          <w:szCs w:val="28"/>
          <w:lang w:bidi="ar"/>
        </w:rPr>
        <w:t>所有钢筋工垃圾由投标人清运并归堆至招标人指定地点，招标人负责垃圾外运。</w:t>
      </w:r>
    </w:p>
    <w:p w14:paraId="425A768A">
      <w:pPr>
        <w:keepNext w:val="0"/>
        <w:keepLines w:val="0"/>
        <w:pageBreakBefore w:val="0"/>
        <w:widowControl w:val="0"/>
        <w:numPr>
          <w:ilvl w:val="0"/>
          <w:numId w:val="0"/>
        </w:numPr>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8、</w:t>
      </w:r>
      <w:r>
        <w:rPr>
          <w:rFonts w:hint="eastAsia" w:hAnsi="宋体" w:cs="宋体"/>
          <w:color w:val="auto"/>
          <w:kern w:val="2"/>
          <w:sz w:val="28"/>
          <w:szCs w:val="28"/>
          <w:lang w:bidi="ar"/>
        </w:rPr>
        <w:t>投标人实际使用的材料量（钢筋等）</w:t>
      </w:r>
      <w:r>
        <w:rPr>
          <w:rFonts w:hint="eastAsia" w:hAnsi="宋体" w:cs="宋体"/>
          <w:color w:val="auto"/>
          <w:kern w:val="2"/>
          <w:sz w:val="28"/>
          <w:szCs w:val="28"/>
          <w:lang w:val="en-US" w:eastAsia="zh-CN" w:bidi="ar"/>
        </w:rPr>
        <w:t>必须小</w:t>
      </w:r>
      <w:r>
        <w:rPr>
          <w:rFonts w:hint="eastAsia" w:hAnsi="宋体" w:cs="宋体"/>
          <w:color w:val="auto"/>
          <w:kern w:val="2"/>
          <w:sz w:val="28"/>
          <w:szCs w:val="28"/>
          <w:lang w:bidi="ar"/>
        </w:rPr>
        <w:t>于理论用量</w:t>
      </w:r>
      <w:r>
        <w:rPr>
          <w:rFonts w:hint="eastAsia" w:hAnsi="宋体" w:cs="宋体"/>
          <w:color w:val="auto"/>
          <w:kern w:val="2"/>
          <w:sz w:val="28"/>
          <w:szCs w:val="28"/>
          <w:highlight w:val="yellow"/>
          <w:lang w:val="en-US" w:eastAsia="zh-CN" w:bidi="ar"/>
        </w:rPr>
        <w:t>98</w:t>
      </w:r>
      <w:r>
        <w:rPr>
          <w:rFonts w:hint="eastAsia" w:hAnsi="宋体" w:cs="宋体"/>
          <w:color w:val="auto"/>
          <w:kern w:val="2"/>
          <w:sz w:val="28"/>
          <w:szCs w:val="28"/>
          <w:lang w:val="en-US" w:eastAsia="zh-CN" w:bidi="ar"/>
        </w:rPr>
        <w:t>%</w:t>
      </w:r>
      <w:r>
        <w:rPr>
          <w:rFonts w:hint="eastAsia" w:hAnsi="宋体" w:cs="宋体"/>
          <w:color w:val="auto"/>
          <w:kern w:val="2"/>
          <w:sz w:val="28"/>
          <w:szCs w:val="28"/>
          <w:lang w:bidi="ar"/>
        </w:rPr>
        <w:t>，超出部分材料费用招标人有权从投标人结算款中直接扣除，超出部分的工程量不予结算清包工费用。当结余钢筋量小于理论量8%时，给予投标人一定奖励。</w:t>
      </w:r>
    </w:p>
    <w:p w14:paraId="77D2774D">
      <w:pPr>
        <w:keepNext w:val="0"/>
        <w:keepLines w:val="0"/>
        <w:pageBreakBefore w:val="0"/>
        <w:widowControl w:val="0"/>
        <w:numPr>
          <w:ilvl w:val="0"/>
          <w:numId w:val="0"/>
        </w:numPr>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9、</w:t>
      </w:r>
      <w:r>
        <w:rPr>
          <w:rFonts w:hint="eastAsia" w:hAnsi="宋体" w:cs="宋体"/>
          <w:color w:val="auto"/>
          <w:kern w:val="2"/>
          <w:sz w:val="28"/>
          <w:szCs w:val="28"/>
          <w:lang w:bidi="ar"/>
        </w:rPr>
        <w:t>钢筋进场验收班组需同项目部管理人员一同参加签字确认，如若未参加视为认同甲方验收的进场数量。</w:t>
      </w:r>
    </w:p>
    <w:p w14:paraId="087C35A5">
      <w:pPr>
        <w:keepNext w:val="0"/>
        <w:keepLines w:val="0"/>
        <w:pageBreakBefore w:val="0"/>
        <w:widowControl w:val="0"/>
        <w:numPr>
          <w:ilvl w:val="0"/>
          <w:numId w:val="0"/>
        </w:numPr>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10、</w:t>
      </w:r>
      <w:r>
        <w:rPr>
          <w:rFonts w:hint="eastAsia" w:hAnsi="宋体" w:cs="宋体"/>
          <w:color w:val="auto"/>
          <w:kern w:val="2"/>
          <w:sz w:val="28"/>
          <w:szCs w:val="28"/>
          <w:lang w:bidi="ar"/>
        </w:rPr>
        <w:t>钢筋工工作详细说明：</w:t>
      </w:r>
    </w:p>
    <w:p w14:paraId="4F84052F">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b/>
          <w:color w:val="auto"/>
          <w:sz w:val="28"/>
          <w:szCs w:val="28"/>
        </w:rPr>
      </w:pPr>
      <w:r>
        <w:rPr>
          <w:rFonts w:hint="eastAsia" w:hAnsi="宋体" w:cs="宋体"/>
          <w:color w:val="auto"/>
          <w:kern w:val="2"/>
          <w:sz w:val="28"/>
          <w:szCs w:val="28"/>
          <w:lang w:val="en-US" w:eastAsia="zh-CN" w:bidi="ar"/>
        </w:rPr>
        <w:t>10.1</w:t>
      </w:r>
      <w:r>
        <w:rPr>
          <w:rFonts w:hint="eastAsia" w:hAnsi="宋体" w:cs="宋体"/>
          <w:color w:val="auto"/>
          <w:kern w:val="2"/>
          <w:sz w:val="28"/>
          <w:szCs w:val="28"/>
          <w:lang w:bidi="ar"/>
        </w:rPr>
        <w:t>加工所使用的钢筋机械(如钢筋弯曲机、切断机、调直机、对焊机等钢筋机械)、联络用对讲机；</w:t>
      </w:r>
    </w:p>
    <w:p w14:paraId="73333ACB">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10.2</w:t>
      </w:r>
      <w:r>
        <w:rPr>
          <w:rFonts w:hint="eastAsia" w:hAnsi="宋体" w:cs="宋体"/>
          <w:color w:val="auto"/>
          <w:kern w:val="2"/>
          <w:sz w:val="28"/>
          <w:szCs w:val="28"/>
          <w:lang w:bidi="ar"/>
        </w:rPr>
        <w:t>绑扎钢筋的铁丝、铅笔、粉笔、石笔、线绳、墨汁、墨斗、钢筋剪、管钳、垫块（剪力墙必须用塑料垫块）；</w:t>
      </w:r>
    </w:p>
    <w:p w14:paraId="0CEE45F4">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10.3</w:t>
      </w:r>
      <w:r>
        <w:rPr>
          <w:rFonts w:hint="eastAsia" w:hAnsi="宋体" w:cs="宋体"/>
          <w:color w:val="auto"/>
          <w:kern w:val="2"/>
          <w:sz w:val="28"/>
          <w:szCs w:val="28"/>
          <w:lang w:bidi="ar"/>
        </w:rPr>
        <w:t>钢筋翻样；</w:t>
      </w:r>
    </w:p>
    <w:p w14:paraId="346184C1">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10.4</w:t>
      </w:r>
      <w:r>
        <w:rPr>
          <w:rFonts w:hint="eastAsia" w:hAnsi="宋体" w:cs="宋体"/>
          <w:color w:val="auto"/>
          <w:kern w:val="2"/>
          <w:sz w:val="28"/>
          <w:szCs w:val="28"/>
          <w:lang w:bidi="ar"/>
        </w:rPr>
        <w:t>钢筋原材料按要求每月提前上报钢材需求计划（附钢筋下料单），进场安排人员卸车及搬运（包含二次搬运）；</w:t>
      </w:r>
    </w:p>
    <w:p w14:paraId="1FC814AF">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10.5</w:t>
      </w:r>
      <w:r>
        <w:rPr>
          <w:rFonts w:hint="eastAsia" w:hAnsi="宋体" w:cs="宋体"/>
          <w:color w:val="auto"/>
          <w:kern w:val="2"/>
          <w:sz w:val="28"/>
          <w:szCs w:val="28"/>
          <w:lang w:bidi="ar"/>
        </w:rPr>
        <w:t>钢筋机械就位，操作、工作台制作、安装和布置；</w:t>
      </w:r>
    </w:p>
    <w:p w14:paraId="48FB5FE8">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10.6</w:t>
      </w:r>
      <w:r>
        <w:rPr>
          <w:rFonts w:hint="eastAsia" w:hAnsi="宋体" w:cs="宋体"/>
          <w:color w:val="auto"/>
          <w:kern w:val="2"/>
          <w:sz w:val="28"/>
          <w:szCs w:val="28"/>
          <w:lang w:bidi="ar"/>
        </w:rPr>
        <w:t>结构工程中所直接使用的材料的二次倒运（不包括因招标人原因发生的反复倒运）、归堆码垛、除浮锈，施工时无塔吊配合的材料搬运；</w:t>
      </w:r>
    </w:p>
    <w:p w14:paraId="58B82FB1">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10.7</w:t>
      </w:r>
      <w:r>
        <w:rPr>
          <w:rFonts w:hint="eastAsia" w:hAnsi="宋体" w:cs="宋体"/>
          <w:color w:val="auto"/>
          <w:kern w:val="2"/>
          <w:sz w:val="28"/>
          <w:szCs w:val="28"/>
          <w:lang w:bidi="ar"/>
        </w:rPr>
        <w:t>竖向钢筋连接的合理下料，运至工作面；钢筋预留必须整齐，按规范执行。</w:t>
      </w:r>
    </w:p>
    <w:p w14:paraId="0299E0E8">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10.8</w:t>
      </w:r>
      <w:r>
        <w:rPr>
          <w:rFonts w:hint="eastAsia" w:hAnsi="宋体" w:cs="宋体"/>
          <w:color w:val="auto"/>
          <w:kern w:val="2"/>
          <w:sz w:val="28"/>
          <w:szCs w:val="28"/>
          <w:lang w:bidi="ar"/>
        </w:rPr>
        <w:t>每层边长大于50cm的井道钢丝网水平防护</w:t>
      </w:r>
      <w:r>
        <w:rPr>
          <w:rFonts w:hint="eastAsia" w:hAnsi="宋体" w:cs="宋体"/>
          <w:color w:val="auto"/>
          <w:kern w:val="2"/>
          <w:sz w:val="28"/>
          <w:szCs w:val="28"/>
          <w:highlight w:val="none"/>
          <w:lang w:bidi="ar"/>
        </w:rPr>
        <w:t>（Φ</w:t>
      </w:r>
      <w:r>
        <w:rPr>
          <w:rFonts w:hint="eastAsia" w:hAnsi="宋体" w:cs="宋体"/>
          <w:color w:val="auto"/>
          <w:kern w:val="2"/>
          <w:sz w:val="28"/>
          <w:szCs w:val="28"/>
          <w:highlight w:val="none"/>
          <w:lang w:val="en-US" w:eastAsia="zh-CN" w:bidi="ar"/>
        </w:rPr>
        <w:t>6</w:t>
      </w:r>
      <w:r>
        <w:rPr>
          <w:rFonts w:hint="eastAsia" w:hAnsi="宋体" w:cs="宋体"/>
          <w:color w:val="auto"/>
          <w:kern w:val="2"/>
          <w:sz w:val="28"/>
          <w:szCs w:val="28"/>
          <w:highlight w:val="none"/>
          <w:lang w:bidi="ar"/>
        </w:rPr>
        <w:t>钢筋</w:t>
      </w:r>
      <w:r>
        <w:rPr>
          <w:rFonts w:hint="eastAsia" w:hAnsi="宋体" w:cs="宋体"/>
          <w:color w:val="auto"/>
          <w:kern w:val="2"/>
          <w:sz w:val="28"/>
          <w:szCs w:val="28"/>
          <w:lang w:bidi="ar"/>
        </w:rPr>
        <w:t>间距20cm单层双向绑扎），每层不少于20%的板作为检测样板（用钢筋马</w:t>
      </w:r>
      <w:r>
        <w:rPr>
          <w:rFonts w:hint="eastAsia" w:hAnsi="宋体" w:cs="宋体"/>
          <w:color w:val="auto"/>
          <w:kern w:val="2"/>
          <w:sz w:val="28"/>
          <w:szCs w:val="28"/>
          <w:lang w:val="en-US" w:eastAsia="zh-CN" w:bidi="ar"/>
        </w:rPr>
        <w:t>凳</w:t>
      </w:r>
      <w:r>
        <w:rPr>
          <w:rFonts w:hint="eastAsia" w:hAnsi="宋体" w:cs="宋体"/>
          <w:color w:val="auto"/>
          <w:kern w:val="2"/>
          <w:sz w:val="28"/>
          <w:szCs w:val="28"/>
          <w:lang w:bidi="ar"/>
        </w:rPr>
        <w:t>并点焊）；</w:t>
      </w:r>
    </w:p>
    <w:p w14:paraId="75C9B71E">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10.9</w:t>
      </w:r>
      <w:r>
        <w:rPr>
          <w:rFonts w:hint="eastAsia" w:hAnsi="宋体" w:cs="宋体"/>
          <w:color w:val="auto"/>
          <w:kern w:val="2"/>
          <w:sz w:val="28"/>
          <w:szCs w:val="28"/>
          <w:lang w:bidi="ar"/>
        </w:rPr>
        <w:t>钢筋的制作：</w:t>
      </w:r>
    </w:p>
    <w:p w14:paraId="6EFDCE8A">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①．除锈、调直、切断；</w:t>
      </w:r>
    </w:p>
    <w:p w14:paraId="52617F9D">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②．钢筋的电弧焊、绑条焊、电气焊割、平直钢筋闪光对接焊、电渣压力焊</w:t>
      </w:r>
      <w:r>
        <w:rPr>
          <w:rFonts w:hint="eastAsia" w:hAnsi="宋体" w:cs="宋体"/>
          <w:color w:val="auto"/>
          <w:kern w:val="2"/>
          <w:sz w:val="28"/>
          <w:szCs w:val="28"/>
          <w:lang w:eastAsia="zh-CN" w:bidi="ar"/>
        </w:rPr>
        <w:t>、</w:t>
      </w:r>
      <w:r>
        <w:rPr>
          <w:rFonts w:hint="eastAsia" w:hAnsi="宋体" w:cs="宋体"/>
          <w:color w:val="auto"/>
          <w:kern w:val="2"/>
          <w:sz w:val="28"/>
          <w:szCs w:val="28"/>
          <w:lang w:val="en-US" w:eastAsia="zh-CN" w:bidi="ar"/>
        </w:rPr>
        <w:t>单（双）边焊</w:t>
      </w:r>
      <w:r>
        <w:rPr>
          <w:rFonts w:hint="eastAsia" w:hAnsi="宋体" w:cs="宋体"/>
          <w:color w:val="auto"/>
          <w:kern w:val="2"/>
          <w:sz w:val="28"/>
          <w:szCs w:val="28"/>
          <w:lang w:bidi="ar"/>
        </w:rPr>
        <w:t>、直螺纹套筒连接等；</w:t>
      </w:r>
    </w:p>
    <w:p w14:paraId="338AAA79">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③．依据料表制作成型；</w:t>
      </w:r>
    </w:p>
    <w:p w14:paraId="7FD06C32">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④．短料接长、余料加工再利用、废料归堆；</w:t>
      </w:r>
    </w:p>
    <w:p w14:paraId="2C061204">
      <w:pPr>
        <w:keepNext w:val="0"/>
        <w:keepLines w:val="0"/>
        <w:pageBreakBefore w:val="0"/>
        <w:widowControl w:val="0"/>
        <w:kinsoku/>
        <w:wordWrap/>
        <w:overflowPunct/>
        <w:topLinePunct w:val="0"/>
        <w:autoSpaceDE/>
        <w:autoSpaceDN/>
        <w:bidi w:val="0"/>
        <w:spacing w:line="240" w:lineRule="auto"/>
        <w:jc w:val="both"/>
        <w:textAlignment w:val="auto"/>
        <w:rPr>
          <w:rFonts w:hint="default" w:hAnsi="宋体" w:cs="宋体"/>
          <w:color w:val="auto"/>
          <w:kern w:val="2"/>
          <w:sz w:val="28"/>
          <w:szCs w:val="28"/>
          <w:highlight w:val="yellow"/>
          <w:lang w:val="en-US" w:eastAsia="zh-CN" w:bidi="ar"/>
        </w:rPr>
      </w:pPr>
      <w:r>
        <w:rPr>
          <w:rFonts w:hint="eastAsia" w:hAnsi="宋体" w:cs="宋体"/>
          <w:color w:val="auto"/>
          <w:kern w:val="2"/>
          <w:sz w:val="28"/>
          <w:szCs w:val="28"/>
          <w:highlight w:val="yellow"/>
          <w:lang w:val="en-US" w:eastAsia="zh-CN" w:bidi="ar"/>
        </w:rPr>
        <w:t>⑤．经废旧钢筋检尺工作后，φ20以上钢筋废料长度不得长于50cm，φ20以下钢筋废料长度不得长于40cm，项目钢筋废料处理总量不得超过已进场加工钢筋总量的5‰。若因班组原因出现超过5‰总量的废料钢筋需从班组进度款中予以扣除，同时处于10000元经济处罚。</w:t>
      </w:r>
    </w:p>
    <w:p w14:paraId="1A6A958C">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⑥</w:t>
      </w:r>
      <w:r>
        <w:rPr>
          <w:rFonts w:hint="eastAsia" w:hAnsi="宋体" w:cs="宋体"/>
          <w:color w:val="auto"/>
          <w:kern w:val="2"/>
          <w:sz w:val="28"/>
          <w:szCs w:val="28"/>
          <w:lang w:bidi="ar"/>
        </w:rPr>
        <w:t>．半成品钢筋分类整齐堆放、标识及水平、垂直运输；</w:t>
      </w:r>
    </w:p>
    <w:p w14:paraId="43C8CEBB">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⑦</w:t>
      </w:r>
      <w:r>
        <w:rPr>
          <w:rFonts w:hint="eastAsia" w:hAnsi="宋体" w:cs="宋体"/>
          <w:color w:val="auto"/>
          <w:kern w:val="2"/>
          <w:sz w:val="28"/>
          <w:szCs w:val="28"/>
          <w:lang w:bidi="ar"/>
        </w:rPr>
        <w:t>．按文明工地的要求将原材料、成品、半成品统一规划、整齐堆放。</w:t>
      </w:r>
    </w:p>
    <w:p w14:paraId="782BC6F4">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10.10</w:t>
      </w:r>
      <w:r>
        <w:rPr>
          <w:rFonts w:hint="eastAsia" w:hAnsi="宋体" w:cs="宋体"/>
          <w:color w:val="auto"/>
          <w:kern w:val="2"/>
          <w:sz w:val="28"/>
          <w:szCs w:val="28"/>
          <w:lang w:bidi="ar"/>
        </w:rPr>
        <w:t>钢筋的绑扎：</w:t>
      </w:r>
    </w:p>
    <w:p w14:paraId="3495A874">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①．半成品材料运至施工层，按料单就位，并整齐堆放；</w:t>
      </w:r>
    </w:p>
    <w:p w14:paraId="4E5344AA">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②．按图纸设计和国家规范，对结构施工范围内的各种结构构件进行绑扎；</w:t>
      </w:r>
    </w:p>
    <w:p w14:paraId="3A0431EB">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eastAsia="宋体" w:cs="宋体"/>
          <w:color w:val="auto"/>
          <w:kern w:val="2"/>
          <w:sz w:val="28"/>
          <w:szCs w:val="28"/>
          <w:lang w:val="en-US" w:eastAsia="zh-CN" w:bidi="ar"/>
        </w:rPr>
      </w:pPr>
      <w:r>
        <w:rPr>
          <w:rFonts w:hint="eastAsia" w:hAnsi="宋体" w:cs="宋体"/>
          <w:color w:val="auto"/>
          <w:kern w:val="2"/>
          <w:sz w:val="28"/>
          <w:szCs w:val="28"/>
          <w:lang w:val="en-US" w:eastAsia="zh-CN" w:bidi="ar"/>
        </w:rPr>
        <w:t>④．所有采用铁丝绑扎部位必须全部满绑，否则因此造成的返工，投标方必须无条件进行整改，同时接受项目部对此的相应处罚；</w:t>
      </w:r>
    </w:p>
    <w:p w14:paraId="3711B9D0">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⑤</w:t>
      </w:r>
      <w:r>
        <w:rPr>
          <w:rFonts w:hint="eastAsia" w:hAnsi="宋体" w:cs="宋体"/>
          <w:color w:val="auto"/>
          <w:kern w:val="2"/>
          <w:sz w:val="28"/>
          <w:szCs w:val="28"/>
          <w:lang w:bidi="ar"/>
        </w:rPr>
        <w:t>．对绑扎后的成品钢筋进行有效保护；</w:t>
      </w:r>
    </w:p>
    <w:p w14:paraId="68AF3B46">
      <w:pPr>
        <w:pStyle w:val="8"/>
        <w:keepNext w:val="0"/>
        <w:keepLines w:val="0"/>
        <w:pageBreakBefore w:val="0"/>
        <w:widowControl w:val="0"/>
        <w:numPr>
          <w:ilvl w:val="0"/>
          <w:numId w:val="0"/>
        </w:numPr>
        <w:kinsoku/>
        <w:wordWrap/>
        <w:overflowPunct/>
        <w:topLinePunct w:val="0"/>
        <w:autoSpaceDE/>
        <w:autoSpaceDN/>
        <w:bidi w:val="0"/>
        <w:spacing w:line="240" w:lineRule="auto"/>
        <w:ind w:leftChars="0"/>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⑥</w:t>
      </w:r>
      <w:r>
        <w:rPr>
          <w:rFonts w:hint="eastAsia" w:hAnsi="宋体" w:cs="宋体"/>
          <w:color w:val="auto"/>
          <w:kern w:val="2"/>
          <w:sz w:val="28"/>
          <w:szCs w:val="28"/>
          <w:lang w:bidi="ar"/>
        </w:rPr>
        <w:t>．马凳筋、梯子筋制作、安放，构造柱钢筋预留；</w:t>
      </w:r>
    </w:p>
    <w:p w14:paraId="397234D0">
      <w:pPr>
        <w:pStyle w:val="8"/>
        <w:keepNext w:val="0"/>
        <w:keepLines w:val="0"/>
        <w:pageBreakBefore w:val="0"/>
        <w:widowControl w:val="0"/>
        <w:numPr>
          <w:ilvl w:val="0"/>
          <w:numId w:val="0"/>
        </w:numPr>
        <w:kinsoku/>
        <w:wordWrap/>
        <w:overflowPunct/>
        <w:topLinePunct w:val="0"/>
        <w:autoSpaceDE/>
        <w:autoSpaceDN/>
        <w:bidi w:val="0"/>
        <w:spacing w:line="240" w:lineRule="auto"/>
        <w:ind w:leftChars="0"/>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⑦</w:t>
      </w:r>
      <w:r>
        <w:rPr>
          <w:rFonts w:hint="eastAsia" w:hAnsi="宋体" w:cs="宋体"/>
          <w:color w:val="auto"/>
          <w:kern w:val="2"/>
          <w:sz w:val="28"/>
          <w:szCs w:val="28"/>
          <w:lang w:bidi="ar"/>
        </w:rPr>
        <w:t>．钢筋水平、垂直控制限位梯子筋的加工与安装；</w:t>
      </w:r>
    </w:p>
    <w:p w14:paraId="432C928C">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⑧</w:t>
      </w:r>
      <w:r>
        <w:rPr>
          <w:rFonts w:hint="eastAsia" w:hAnsi="宋体" w:cs="宋体"/>
          <w:color w:val="auto"/>
          <w:kern w:val="2"/>
          <w:sz w:val="28"/>
          <w:szCs w:val="28"/>
          <w:lang w:bidi="ar"/>
        </w:rPr>
        <w:t>．设计洞口、施工预留洞口的钢筋切割，洞口加筋处的制作、绑、焊；</w:t>
      </w:r>
    </w:p>
    <w:p w14:paraId="6FF93125">
      <w:pPr>
        <w:pStyle w:val="2"/>
        <w:keepNext w:val="0"/>
        <w:keepLines w:val="0"/>
        <w:pageBreakBefore w:val="0"/>
        <w:widowControl w:val="0"/>
        <w:kinsoku/>
        <w:wordWrap/>
        <w:overflowPunct/>
        <w:topLinePunct w:val="0"/>
        <w:autoSpaceDE/>
        <w:autoSpaceDN/>
        <w:bidi w:val="0"/>
        <w:spacing w:line="240" w:lineRule="auto"/>
        <w:jc w:val="both"/>
        <w:textAlignment w:val="auto"/>
        <w:rPr>
          <w:rFonts w:hint="default" w:ascii="宋体" w:hAnsi="宋体" w:eastAsia="宋体" w:cs="宋体"/>
          <w:color w:val="auto"/>
          <w:kern w:val="2"/>
          <w:sz w:val="28"/>
          <w:szCs w:val="28"/>
          <w:lang w:val="en-US" w:eastAsia="zh-CN" w:bidi="ar"/>
        </w:rPr>
      </w:pPr>
      <w:r>
        <w:rPr>
          <w:rFonts w:hint="eastAsia" w:ascii="宋体" w:hAnsi="宋体" w:eastAsia="宋体" w:cs="宋体"/>
          <w:color w:val="auto"/>
          <w:kern w:val="2"/>
          <w:sz w:val="28"/>
          <w:szCs w:val="28"/>
          <w:lang w:val="en-US" w:eastAsia="zh-CN" w:bidi="ar"/>
        </w:rPr>
        <w:t>⑨．地下室筏板钢筋马镫、高度较大时钢筋支撑架制作、安装、绑、焊。</w:t>
      </w:r>
    </w:p>
    <w:p w14:paraId="5BAAD3D6">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10.</w:t>
      </w:r>
      <w:r>
        <w:rPr>
          <w:rFonts w:hint="eastAsia" w:hAnsi="宋体" w:cs="宋体"/>
          <w:color w:val="auto"/>
          <w:kern w:val="2"/>
          <w:sz w:val="28"/>
          <w:szCs w:val="28"/>
          <w:lang w:bidi="ar"/>
        </w:rPr>
        <w:t>11浇捣混凝土时钢筋保护工作；混凝土施工时，必须安排值班人员看护，值班人员必须承担责任，对钢筋有位移等问题及时处理。混凝土施工后有竖向钢筋位移，轴线偏差大，将给予500元一次处罚，如实体检测出现保护层厚度或钢筋间距不符合要求，将给予2000元每检测点的处罚。</w:t>
      </w:r>
    </w:p>
    <w:p w14:paraId="69CE744B">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10.</w:t>
      </w:r>
      <w:r>
        <w:rPr>
          <w:rFonts w:hint="eastAsia" w:hAnsi="宋体" w:cs="宋体"/>
          <w:color w:val="auto"/>
          <w:kern w:val="2"/>
          <w:sz w:val="28"/>
          <w:szCs w:val="28"/>
          <w:lang w:bidi="ar"/>
        </w:rPr>
        <w:t>12班组自检、互检、交接检，向招标人报送自检记录，参与招标人、监理单位的质量检查及隐蔽工程验收；</w:t>
      </w:r>
    </w:p>
    <w:p w14:paraId="67E6CB11">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10.13</w:t>
      </w:r>
      <w:r>
        <w:rPr>
          <w:rFonts w:hint="eastAsia" w:hAnsi="宋体" w:cs="宋体"/>
          <w:color w:val="auto"/>
          <w:kern w:val="2"/>
          <w:sz w:val="28"/>
          <w:szCs w:val="28"/>
          <w:lang w:bidi="ar"/>
        </w:rPr>
        <w:t>电梯吊环制作及安装、钢筋料场原材料堆放区定型化槽钢基座的安装、拆卸。试验送检材料的下料及制作。</w:t>
      </w:r>
    </w:p>
    <w:p w14:paraId="60EC21B4">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10.</w:t>
      </w:r>
      <w:r>
        <w:rPr>
          <w:rFonts w:hint="eastAsia" w:hAnsi="宋体" w:cs="宋体"/>
          <w:color w:val="auto"/>
          <w:kern w:val="2"/>
          <w:sz w:val="28"/>
          <w:szCs w:val="28"/>
          <w:lang w:bidi="ar"/>
        </w:rPr>
        <w:t>14钢筋质量验收标准</w:t>
      </w:r>
    </w:p>
    <w:tbl>
      <w:tblPr>
        <w:tblStyle w:val="5"/>
        <w:tblpPr w:leftFromText="180" w:rightFromText="180" w:vertAnchor="text" w:horzAnchor="margin" w:tblpXSpec="center" w:tblpY="150"/>
        <w:tblW w:w="8501" w:type="dxa"/>
        <w:tblInd w:w="-3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4"/>
        <w:gridCol w:w="992"/>
        <w:gridCol w:w="2126"/>
        <w:gridCol w:w="1276"/>
        <w:gridCol w:w="1276"/>
        <w:gridCol w:w="1417"/>
      </w:tblGrid>
      <w:tr w14:paraId="75279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1" w:type="dxa"/>
            <w:gridSpan w:val="6"/>
            <w:tcBorders>
              <w:top w:val="single" w:color="auto" w:sz="4" w:space="0"/>
              <w:left w:val="single" w:color="auto" w:sz="4" w:space="0"/>
              <w:bottom w:val="single" w:color="auto" w:sz="4" w:space="0"/>
              <w:right w:val="single" w:color="auto" w:sz="4" w:space="0"/>
            </w:tcBorders>
            <w:vAlign w:val="center"/>
          </w:tcPr>
          <w:p w14:paraId="2C944972">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质量验收规范的规定</w:t>
            </w:r>
          </w:p>
        </w:tc>
      </w:tr>
      <w:tr w14:paraId="234E5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tcBorders>
              <w:top w:val="single" w:color="auto" w:sz="4" w:space="0"/>
              <w:left w:val="single" w:color="auto" w:sz="4" w:space="0"/>
              <w:bottom w:val="single" w:color="auto" w:sz="4" w:space="0"/>
              <w:right w:val="single" w:color="auto" w:sz="4" w:space="0"/>
            </w:tcBorders>
            <w:vAlign w:val="center"/>
          </w:tcPr>
          <w:p w14:paraId="2FCC4835">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主控项目</w:t>
            </w:r>
          </w:p>
        </w:tc>
        <w:tc>
          <w:tcPr>
            <w:tcW w:w="7087" w:type="dxa"/>
            <w:gridSpan w:val="5"/>
            <w:tcBorders>
              <w:top w:val="single" w:color="auto" w:sz="4" w:space="0"/>
              <w:left w:val="single" w:color="auto" w:sz="4" w:space="0"/>
              <w:bottom w:val="single" w:color="auto" w:sz="4" w:space="0"/>
              <w:right w:val="single" w:color="auto" w:sz="4" w:space="0"/>
            </w:tcBorders>
            <w:vAlign w:val="center"/>
          </w:tcPr>
          <w:p w14:paraId="1C531E12">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钢筋安装时，受力钢筋的品种、级别、规格、数量必须符合设计要求。</w:t>
            </w:r>
          </w:p>
        </w:tc>
      </w:tr>
      <w:tr w14:paraId="19235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restart"/>
            <w:tcBorders>
              <w:top w:val="single" w:color="auto" w:sz="4" w:space="0"/>
              <w:left w:val="single" w:color="auto" w:sz="4" w:space="0"/>
              <w:bottom w:val="single" w:color="auto" w:sz="4" w:space="0"/>
              <w:right w:val="single" w:color="auto" w:sz="4" w:space="0"/>
            </w:tcBorders>
            <w:vAlign w:val="center"/>
          </w:tcPr>
          <w:p w14:paraId="1C5C2F19">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一般项目</w:t>
            </w:r>
          </w:p>
        </w:tc>
        <w:tc>
          <w:tcPr>
            <w:tcW w:w="992" w:type="dxa"/>
            <w:vMerge w:val="restart"/>
            <w:tcBorders>
              <w:top w:val="single" w:color="auto" w:sz="4" w:space="0"/>
              <w:left w:val="single" w:color="auto" w:sz="4" w:space="0"/>
              <w:bottom w:val="single" w:color="auto" w:sz="4" w:space="0"/>
              <w:right w:val="single" w:color="auto" w:sz="4" w:space="0"/>
            </w:tcBorders>
            <w:vAlign w:val="center"/>
          </w:tcPr>
          <w:p w14:paraId="25ED2850">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钢筋安装位置的偏差（mm）</w:t>
            </w:r>
          </w:p>
        </w:tc>
        <w:tc>
          <w:tcPr>
            <w:tcW w:w="2126" w:type="dxa"/>
            <w:vMerge w:val="restart"/>
            <w:tcBorders>
              <w:top w:val="single" w:color="auto" w:sz="4" w:space="0"/>
              <w:left w:val="single" w:color="auto" w:sz="4" w:space="0"/>
              <w:bottom w:val="single" w:color="auto" w:sz="4" w:space="0"/>
              <w:right w:val="single" w:color="auto" w:sz="4" w:space="0"/>
            </w:tcBorders>
            <w:vAlign w:val="center"/>
          </w:tcPr>
          <w:p w14:paraId="0BFBDC8B">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绑扎钢筋网</w:t>
            </w:r>
          </w:p>
        </w:tc>
        <w:tc>
          <w:tcPr>
            <w:tcW w:w="2552" w:type="dxa"/>
            <w:gridSpan w:val="2"/>
            <w:tcBorders>
              <w:top w:val="single" w:color="auto" w:sz="4" w:space="0"/>
              <w:left w:val="single" w:color="auto" w:sz="4" w:space="0"/>
              <w:bottom w:val="single" w:color="auto" w:sz="4" w:space="0"/>
              <w:right w:val="single" w:color="auto" w:sz="4" w:space="0"/>
            </w:tcBorders>
            <w:vAlign w:val="center"/>
          </w:tcPr>
          <w:p w14:paraId="3986E325">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长、宽</w:t>
            </w:r>
          </w:p>
        </w:tc>
        <w:tc>
          <w:tcPr>
            <w:tcW w:w="1417" w:type="dxa"/>
            <w:tcBorders>
              <w:top w:val="single" w:color="auto" w:sz="4" w:space="0"/>
              <w:left w:val="single" w:color="auto" w:sz="4" w:space="0"/>
              <w:bottom w:val="single" w:color="auto" w:sz="4" w:space="0"/>
              <w:right w:val="single" w:color="auto" w:sz="4" w:space="0"/>
            </w:tcBorders>
            <w:vAlign w:val="center"/>
          </w:tcPr>
          <w:p w14:paraId="153E0410">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±10</w:t>
            </w:r>
          </w:p>
        </w:tc>
      </w:tr>
      <w:tr w14:paraId="0DE15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tcBorders>
              <w:top w:val="single" w:color="auto" w:sz="4" w:space="0"/>
              <w:left w:val="single" w:color="auto" w:sz="4" w:space="0"/>
              <w:bottom w:val="single" w:color="auto" w:sz="4" w:space="0"/>
              <w:right w:val="single" w:color="auto" w:sz="4" w:space="0"/>
            </w:tcBorders>
            <w:vAlign w:val="center"/>
          </w:tcPr>
          <w:p w14:paraId="72E4DBB9">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992" w:type="dxa"/>
            <w:vMerge w:val="continue"/>
            <w:tcBorders>
              <w:top w:val="single" w:color="auto" w:sz="4" w:space="0"/>
              <w:left w:val="single" w:color="auto" w:sz="4" w:space="0"/>
              <w:bottom w:val="single" w:color="auto" w:sz="4" w:space="0"/>
              <w:right w:val="single" w:color="auto" w:sz="4" w:space="0"/>
            </w:tcBorders>
            <w:vAlign w:val="center"/>
          </w:tcPr>
          <w:p w14:paraId="4A3563D4">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2126" w:type="dxa"/>
            <w:vMerge w:val="continue"/>
            <w:tcBorders>
              <w:top w:val="single" w:color="auto" w:sz="4" w:space="0"/>
              <w:left w:val="single" w:color="auto" w:sz="4" w:space="0"/>
              <w:bottom w:val="single" w:color="auto" w:sz="4" w:space="0"/>
              <w:right w:val="single" w:color="auto" w:sz="4" w:space="0"/>
            </w:tcBorders>
            <w:vAlign w:val="center"/>
          </w:tcPr>
          <w:p w14:paraId="1F037496">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2552" w:type="dxa"/>
            <w:gridSpan w:val="2"/>
            <w:tcBorders>
              <w:top w:val="single" w:color="auto" w:sz="4" w:space="0"/>
              <w:left w:val="single" w:color="auto" w:sz="4" w:space="0"/>
              <w:bottom w:val="single" w:color="auto" w:sz="4" w:space="0"/>
              <w:right w:val="single" w:color="auto" w:sz="4" w:space="0"/>
            </w:tcBorders>
            <w:vAlign w:val="center"/>
          </w:tcPr>
          <w:p w14:paraId="170E2A6E">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网眼尺寸</w:t>
            </w:r>
          </w:p>
        </w:tc>
        <w:tc>
          <w:tcPr>
            <w:tcW w:w="1417" w:type="dxa"/>
            <w:tcBorders>
              <w:top w:val="single" w:color="auto" w:sz="4" w:space="0"/>
              <w:left w:val="single" w:color="auto" w:sz="4" w:space="0"/>
              <w:bottom w:val="single" w:color="auto" w:sz="4" w:space="0"/>
              <w:right w:val="single" w:color="auto" w:sz="4" w:space="0"/>
            </w:tcBorders>
            <w:vAlign w:val="center"/>
          </w:tcPr>
          <w:p w14:paraId="00480358">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±20</w:t>
            </w:r>
          </w:p>
        </w:tc>
      </w:tr>
      <w:tr w14:paraId="55989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tcBorders>
              <w:top w:val="single" w:color="auto" w:sz="4" w:space="0"/>
              <w:left w:val="single" w:color="auto" w:sz="4" w:space="0"/>
              <w:bottom w:val="single" w:color="auto" w:sz="4" w:space="0"/>
              <w:right w:val="single" w:color="auto" w:sz="4" w:space="0"/>
            </w:tcBorders>
            <w:vAlign w:val="center"/>
          </w:tcPr>
          <w:p w14:paraId="62CF379E">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992" w:type="dxa"/>
            <w:vMerge w:val="continue"/>
            <w:tcBorders>
              <w:top w:val="single" w:color="auto" w:sz="4" w:space="0"/>
              <w:left w:val="single" w:color="auto" w:sz="4" w:space="0"/>
              <w:bottom w:val="single" w:color="auto" w:sz="4" w:space="0"/>
              <w:right w:val="single" w:color="auto" w:sz="4" w:space="0"/>
            </w:tcBorders>
            <w:vAlign w:val="center"/>
          </w:tcPr>
          <w:p w14:paraId="243274F7">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2126" w:type="dxa"/>
            <w:vMerge w:val="restart"/>
            <w:tcBorders>
              <w:top w:val="single" w:color="auto" w:sz="4" w:space="0"/>
              <w:left w:val="single" w:color="auto" w:sz="4" w:space="0"/>
              <w:bottom w:val="single" w:color="auto" w:sz="4" w:space="0"/>
              <w:right w:val="single" w:color="auto" w:sz="4" w:space="0"/>
            </w:tcBorders>
            <w:vAlign w:val="center"/>
          </w:tcPr>
          <w:p w14:paraId="5EB5C603">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绑扎钢筋骨架</w:t>
            </w:r>
          </w:p>
        </w:tc>
        <w:tc>
          <w:tcPr>
            <w:tcW w:w="2552" w:type="dxa"/>
            <w:gridSpan w:val="2"/>
            <w:tcBorders>
              <w:top w:val="single" w:color="auto" w:sz="4" w:space="0"/>
              <w:left w:val="single" w:color="auto" w:sz="4" w:space="0"/>
              <w:bottom w:val="single" w:color="auto" w:sz="4" w:space="0"/>
              <w:right w:val="single" w:color="auto" w:sz="4" w:space="0"/>
            </w:tcBorders>
            <w:vAlign w:val="center"/>
          </w:tcPr>
          <w:p w14:paraId="5AF07483">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长</w:t>
            </w:r>
          </w:p>
        </w:tc>
        <w:tc>
          <w:tcPr>
            <w:tcW w:w="1417" w:type="dxa"/>
            <w:tcBorders>
              <w:top w:val="single" w:color="auto" w:sz="4" w:space="0"/>
              <w:left w:val="single" w:color="auto" w:sz="4" w:space="0"/>
              <w:bottom w:val="single" w:color="auto" w:sz="4" w:space="0"/>
              <w:right w:val="single" w:color="auto" w:sz="4" w:space="0"/>
            </w:tcBorders>
            <w:vAlign w:val="center"/>
          </w:tcPr>
          <w:p w14:paraId="714670F6">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±10</w:t>
            </w:r>
          </w:p>
        </w:tc>
      </w:tr>
      <w:tr w14:paraId="18EEC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tcBorders>
              <w:top w:val="single" w:color="auto" w:sz="4" w:space="0"/>
              <w:left w:val="single" w:color="auto" w:sz="4" w:space="0"/>
              <w:bottom w:val="single" w:color="auto" w:sz="4" w:space="0"/>
              <w:right w:val="single" w:color="auto" w:sz="4" w:space="0"/>
            </w:tcBorders>
            <w:vAlign w:val="center"/>
          </w:tcPr>
          <w:p w14:paraId="08866E28">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992" w:type="dxa"/>
            <w:vMerge w:val="continue"/>
            <w:tcBorders>
              <w:top w:val="single" w:color="auto" w:sz="4" w:space="0"/>
              <w:left w:val="single" w:color="auto" w:sz="4" w:space="0"/>
              <w:bottom w:val="single" w:color="auto" w:sz="4" w:space="0"/>
              <w:right w:val="single" w:color="auto" w:sz="4" w:space="0"/>
            </w:tcBorders>
            <w:vAlign w:val="center"/>
          </w:tcPr>
          <w:p w14:paraId="7B85D0C3">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2126" w:type="dxa"/>
            <w:vMerge w:val="continue"/>
            <w:tcBorders>
              <w:top w:val="single" w:color="auto" w:sz="4" w:space="0"/>
              <w:left w:val="single" w:color="auto" w:sz="4" w:space="0"/>
              <w:bottom w:val="single" w:color="auto" w:sz="4" w:space="0"/>
              <w:right w:val="single" w:color="auto" w:sz="4" w:space="0"/>
            </w:tcBorders>
            <w:vAlign w:val="center"/>
          </w:tcPr>
          <w:p w14:paraId="678E3AB6">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2552" w:type="dxa"/>
            <w:gridSpan w:val="2"/>
            <w:tcBorders>
              <w:top w:val="single" w:color="auto" w:sz="4" w:space="0"/>
              <w:left w:val="single" w:color="auto" w:sz="4" w:space="0"/>
              <w:bottom w:val="single" w:color="auto" w:sz="4" w:space="0"/>
              <w:right w:val="single" w:color="auto" w:sz="4" w:space="0"/>
            </w:tcBorders>
            <w:vAlign w:val="center"/>
          </w:tcPr>
          <w:p w14:paraId="4D78D8AC">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宽、高</w:t>
            </w:r>
          </w:p>
        </w:tc>
        <w:tc>
          <w:tcPr>
            <w:tcW w:w="1417" w:type="dxa"/>
            <w:tcBorders>
              <w:top w:val="single" w:color="auto" w:sz="4" w:space="0"/>
              <w:left w:val="single" w:color="auto" w:sz="4" w:space="0"/>
              <w:bottom w:val="single" w:color="auto" w:sz="4" w:space="0"/>
              <w:right w:val="single" w:color="auto" w:sz="4" w:space="0"/>
            </w:tcBorders>
            <w:vAlign w:val="center"/>
          </w:tcPr>
          <w:p w14:paraId="516D3F44">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±5</w:t>
            </w:r>
          </w:p>
        </w:tc>
      </w:tr>
      <w:tr w14:paraId="54A55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tcBorders>
              <w:top w:val="single" w:color="auto" w:sz="4" w:space="0"/>
              <w:left w:val="single" w:color="auto" w:sz="4" w:space="0"/>
              <w:bottom w:val="single" w:color="auto" w:sz="4" w:space="0"/>
              <w:right w:val="single" w:color="auto" w:sz="4" w:space="0"/>
            </w:tcBorders>
            <w:vAlign w:val="center"/>
          </w:tcPr>
          <w:p w14:paraId="0117F683">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992" w:type="dxa"/>
            <w:vMerge w:val="continue"/>
            <w:tcBorders>
              <w:top w:val="single" w:color="auto" w:sz="4" w:space="0"/>
              <w:left w:val="single" w:color="auto" w:sz="4" w:space="0"/>
              <w:bottom w:val="single" w:color="auto" w:sz="4" w:space="0"/>
              <w:right w:val="single" w:color="auto" w:sz="4" w:space="0"/>
            </w:tcBorders>
            <w:vAlign w:val="center"/>
          </w:tcPr>
          <w:p w14:paraId="5CE72CD8">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2126" w:type="dxa"/>
            <w:vMerge w:val="restart"/>
            <w:tcBorders>
              <w:top w:val="single" w:color="auto" w:sz="4" w:space="0"/>
              <w:left w:val="single" w:color="auto" w:sz="4" w:space="0"/>
              <w:bottom w:val="single" w:color="auto" w:sz="4" w:space="0"/>
              <w:right w:val="single" w:color="auto" w:sz="4" w:space="0"/>
            </w:tcBorders>
            <w:vAlign w:val="center"/>
          </w:tcPr>
          <w:p w14:paraId="6A448A3C">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受力钢筋</w:t>
            </w:r>
          </w:p>
        </w:tc>
        <w:tc>
          <w:tcPr>
            <w:tcW w:w="2552" w:type="dxa"/>
            <w:gridSpan w:val="2"/>
            <w:tcBorders>
              <w:top w:val="single" w:color="auto" w:sz="4" w:space="0"/>
              <w:left w:val="single" w:color="auto" w:sz="4" w:space="0"/>
              <w:bottom w:val="single" w:color="auto" w:sz="4" w:space="0"/>
              <w:right w:val="single" w:color="auto" w:sz="4" w:space="0"/>
            </w:tcBorders>
            <w:vAlign w:val="center"/>
          </w:tcPr>
          <w:p w14:paraId="3463E6BE">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间距</w:t>
            </w:r>
          </w:p>
        </w:tc>
        <w:tc>
          <w:tcPr>
            <w:tcW w:w="1417" w:type="dxa"/>
            <w:tcBorders>
              <w:top w:val="single" w:color="auto" w:sz="4" w:space="0"/>
              <w:left w:val="single" w:color="auto" w:sz="4" w:space="0"/>
              <w:bottom w:val="single" w:color="auto" w:sz="4" w:space="0"/>
              <w:right w:val="single" w:color="auto" w:sz="4" w:space="0"/>
            </w:tcBorders>
            <w:vAlign w:val="center"/>
          </w:tcPr>
          <w:p w14:paraId="7AF82291">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±10</w:t>
            </w:r>
          </w:p>
        </w:tc>
      </w:tr>
      <w:tr w14:paraId="6617D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tcBorders>
              <w:top w:val="single" w:color="auto" w:sz="4" w:space="0"/>
              <w:left w:val="single" w:color="auto" w:sz="4" w:space="0"/>
              <w:bottom w:val="single" w:color="auto" w:sz="4" w:space="0"/>
              <w:right w:val="single" w:color="auto" w:sz="4" w:space="0"/>
            </w:tcBorders>
            <w:vAlign w:val="center"/>
          </w:tcPr>
          <w:p w14:paraId="40167BDE">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992" w:type="dxa"/>
            <w:vMerge w:val="continue"/>
            <w:tcBorders>
              <w:top w:val="single" w:color="auto" w:sz="4" w:space="0"/>
              <w:left w:val="single" w:color="auto" w:sz="4" w:space="0"/>
              <w:bottom w:val="single" w:color="auto" w:sz="4" w:space="0"/>
              <w:right w:val="single" w:color="auto" w:sz="4" w:space="0"/>
            </w:tcBorders>
            <w:vAlign w:val="center"/>
          </w:tcPr>
          <w:p w14:paraId="08C3D00C">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2126" w:type="dxa"/>
            <w:vMerge w:val="continue"/>
            <w:tcBorders>
              <w:top w:val="single" w:color="auto" w:sz="4" w:space="0"/>
              <w:left w:val="single" w:color="auto" w:sz="4" w:space="0"/>
              <w:bottom w:val="single" w:color="auto" w:sz="4" w:space="0"/>
              <w:right w:val="single" w:color="auto" w:sz="4" w:space="0"/>
            </w:tcBorders>
            <w:vAlign w:val="center"/>
          </w:tcPr>
          <w:p w14:paraId="0F545D5A">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2552" w:type="dxa"/>
            <w:gridSpan w:val="2"/>
            <w:tcBorders>
              <w:top w:val="single" w:color="auto" w:sz="4" w:space="0"/>
              <w:left w:val="single" w:color="auto" w:sz="4" w:space="0"/>
              <w:bottom w:val="single" w:color="auto" w:sz="4" w:space="0"/>
              <w:right w:val="single" w:color="auto" w:sz="4" w:space="0"/>
            </w:tcBorders>
            <w:vAlign w:val="center"/>
          </w:tcPr>
          <w:p w14:paraId="69056408">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排距</w:t>
            </w:r>
          </w:p>
        </w:tc>
        <w:tc>
          <w:tcPr>
            <w:tcW w:w="1417" w:type="dxa"/>
            <w:tcBorders>
              <w:top w:val="single" w:color="auto" w:sz="4" w:space="0"/>
              <w:left w:val="single" w:color="auto" w:sz="4" w:space="0"/>
              <w:bottom w:val="single" w:color="auto" w:sz="4" w:space="0"/>
              <w:right w:val="single" w:color="auto" w:sz="4" w:space="0"/>
            </w:tcBorders>
            <w:vAlign w:val="center"/>
          </w:tcPr>
          <w:p w14:paraId="19C46FA8">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±5</w:t>
            </w:r>
          </w:p>
        </w:tc>
      </w:tr>
      <w:tr w14:paraId="25351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tcBorders>
              <w:top w:val="single" w:color="auto" w:sz="4" w:space="0"/>
              <w:left w:val="single" w:color="auto" w:sz="4" w:space="0"/>
              <w:bottom w:val="single" w:color="auto" w:sz="4" w:space="0"/>
              <w:right w:val="single" w:color="auto" w:sz="4" w:space="0"/>
            </w:tcBorders>
            <w:vAlign w:val="center"/>
          </w:tcPr>
          <w:p w14:paraId="04CC9D71">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992" w:type="dxa"/>
            <w:vMerge w:val="continue"/>
            <w:tcBorders>
              <w:top w:val="single" w:color="auto" w:sz="4" w:space="0"/>
              <w:left w:val="single" w:color="auto" w:sz="4" w:space="0"/>
              <w:bottom w:val="single" w:color="auto" w:sz="4" w:space="0"/>
              <w:right w:val="single" w:color="auto" w:sz="4" w:space="0"/>
            </w:tcBorders>
            <w:vAlign w:val="center"/>
          </w:tcPr>
          <w:p w14:paraId="20D88880">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2126" w:type="dxa"/>
            <w:vMerge w:val="continue"/>
            <w:tcBorders>
              <w:top w:val="single" w:color="auto" w:sz="4" w:space="0"/>
              <w:left w:val="single" w:color="auto" w:sz="4" w:space="0"/>
              <w:bottom w:val="single" w:color="auto" w:sz="4" w:space="0"/>
              <w:right w:val="single" w:color="auto" w:sz="4" w:space="0"/>
            </w:tcBorders>
            <w:vAlign w:val="center"/>
          </w:tcPr>
          <w:p w14:paraId="1E3E2CC3">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1276" w:type="dxa"/>
            <w:vMerge w:val="restart"/>
            <w:tcBorders>
              <w:top w:val="single" w:color="auto" w:sz="4" w:space="0"/>
              <w:left w:val="single" w:color="auto" w:sz="4" w:space="0"/>
              <w:bottom w:val="single" w:color="auto" w:sz="4" w:space="0"/>
              <w:right w:val="single" w:color="auto" w:sz="4" w:space="0"/>
            </w:tcBorders>
            <w:vAlign w:val="center"/>
          </w:tcPr>
          <w:p w14:paraId="7B02E01E">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保护层厚度</w:t>
            </w:r>
          </w:p>
        </w:tc>
        <w:tc>
          <w:tcPr>
            <w:tcW w:w="1276" w:type="dxa"/>
            <w:tcBorders>
              <w:top w:val="single" w:color="auto" w:sz="4" w:space="0"/>
              <w:left w:val="single" w:color="auto" w:sz="4" w:space="0"/>
              <w:bottom w:val="single" w:color="auto" w:sz="4" w:space="0"/>
              <w:right w:val="single" w:color="auto" w:sz="4" w:space="0"/>
            </w:tcBorders>
            <w:vAlign w:val="center"/>
          </w:tcPr>
          <w:p w14:paraId="67971F9F">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基础</w:t>
            </w:r>
          </w:p>
        </w:tc>
        <w:tc>
          <w:tcPr>
            <w:tcW w:w="1417" w:type="dxa"/>
            <w:tcBorders>
              <w:top w:val="single" w:color="auto" w:sz="4" w:space="0"/>
              <w:left w:val="single" w:color="auto" w:sz="4" w:space="0"/>
              <w:bottom w:val="single" w:color="auto" w:sz="4" w:space="0"/>
              <w:right w:val="single" w:color="auto" w:sz="4" w:space="0"/>
            </w:tcBorders>
            <w:vAlign w:val="center"/>
          </w:tcPr>
          <w:p w14:paraId="00742670">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±10</w:t>
            </w:r>
          </w:p>
        </w:tc>
      </w:tr>
      <w:tr w14:paraId="2395C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tcBorders>
              <w:top w:val="single" w:color="auto" w:sz="4" w:space="0"/>
              <w:left w:val="single" w:color="auto" w:sz="4" w:space="0"/>
              <w:bottom w:val="single" w:color="auto" w:sz="4" w:space="0"/>
              <w:right w:val="single" w:color="auto" w:sz="4" w:space="0"/>
            </w:tcBorders>
            <w:vAlign w:val="center"/>
          </w:tcPr>
          <w:p w14:paraId="0CDF9172">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992" w:type="dxa"/>
            <w:vMerge w:val="continue"/>
            <w:tcBorders>
              <w:top w:val="single" w:color="auto" w:sz="4" w:space="0"/>
              <w:left w:val="single" w:color="auto" w:sz="4" w:space="0"/>
              <w:bottom w:val="single" w:color="auto" w:sz="4" w:space="0"/>
              <w:right w:val="single" w:color="auto" w:sz="4" w:space="0"/>
            </w:tcBorders>
            <w:vAlign w:val="center"/>
          </w:tcPr>
          <w:p w14:paraId="64E85A28">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2126" w:type="dxa"/>
            <w:vMerge w:val="continue"/>
            <w:tcBorders>
              <w:top w:val="single" w:color="auto" w:sz="4" w:space="0"/>
              <w:left w:val="single" w:color="auto" w:sz="4" w:space="0"/>
              <w:bottom w:val="single" w:color="auto" w:sz="4" w:space="0"/>
              <w:right w:val="single" w:color="auto" w:sz="4" w:space="0"/>
            </w:tcBorders>
            <w:vAlign w:val="center"/>
          </w:tcPr>
          <w:p w14:paraId="34B36D8D">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1276" w:type="dxa"/>
            <w:vMerge w:val="continue"/>
            <w:tcBorders>
              <w:top w:val="single" w:color="auto" w:sz="4" w:space="0"/>
              <w:left w:val="single" w:color="auto" w:sz="4" w:space="0"/>
              <w:bottom w:val="single" w:color="auto" w:sz="4" w:space="0"/>
              <w:right w:val="single" w:color="auto" w:sz="4" w:space="0"/>
            </w:tcBorders>
            <w:vAlign w:val="center"/>
          </w:tcPr>
          <w:p w14:paraId="2BE336D3">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1276" w:type="dxa"/>
            <w:tcBorders>
              <w:top w:val="single" w:color="auto" w:sz="4" w:space="0"/>
              <w:left w:val="single" w:color="auto" w:sz="4" w:space="0"/>
              <w:bottom w:val="single" w:color="auto" w:sz="4" w:space="0"/>
              <w:right w:val="single" w:color="auto" w:sz="4" w:space="0"/>
            </w:tcBorders>
            <w:vAlign w:val="center"/>
          </w:tcPr>
          <w:p w14:paraId="3F3183DC">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柱、梁</w:t>
            </w:r>
          </w:p>
        </w:tc>
        <w:tc>
          <w:tcPr>
            <w:tcW w:w="1417" w:type="dxa"/>
            <w:tcBorders>
              <w:top w:val="single" w:color="auto" w:sz="4" w:space="0"/>
              <w:left w:val="single" w:color="auto" w:sz="4" w:space="0"/>
              <w:bottom w:val="single" w:color="auto" w:sz="4" w:space="0"/>
              <w:right w:val="single" w:color="auto" w:sz="4" w:space="0"/>
            </w:tcBorders>
            <w:vAlign w:val="center"/>
          </w:tcPr>
          <w:p w14:paraId="762E989F">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±5</w:t>
            </w:r>
          </w:p>
        </w:tc>
      </w:tr>
      <w:tr w14:paraId="5E4C8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tcBorders>
              <w:top w:val="single" w:color="auto" w:sz="4" w:space="0"/>
              <w:left w:val="single" w:color="auto" w:sz="4" w:space="0"/>
              <w:bottom w:val="single" w:color="auto" w:sz="4" w:space="0"/>
              <w:right w:val="single" w:color="auto" w:sz="4" w:space="0"/>
            </w:tcBorders>
            <w:vAlign w:val="center"/>
          </w:tcPr>
          <w:p w14:paraId="6BAED104">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992" w:type="dxa"/>
            <w:vMerge w:val="continue"/>
            <w:tcBorders>
              <w:top w:val="single" w:color="auto" w:sz="4" w:space="0"/>
              <w:left w:val="single" w:color="auto" w:sz="4" w:space="0"/>
              <w:bottom w:val="single" w:color="auto" w:sz="4" w:space="0"/>
              <w:right w:val="single" w:color="auto" w:sz="4" w:space="0"/>
            </w:tcBorders>
            <w:vAlign w:val="center"/>
          </w:tcPr>
          <w:p w14:paraId="08EB1D56">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2126" w:type="dxa"/>
            <w:vMerge w:val="continue"/>
            <w:tcBorders>
              <w:top w:val="single" w:color="auto" w:sz="4" w:space="0"/>
              <w:left w:val="single" w:color="auto" w:sz="4" w:space="0"/>
              <w:bottom w:val="single" w:color="auto" w:sz="4" w:space="0"/>
              <w:right w:val="single" w:color="auto" w:sz="4" w:space="0"/>
            </w:tcBorders>
            <w:vAlign w:val="center"/>
          </w:tcPr>
          <w:p w14:paraId="4EFDC997">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1276" w:type="dxa"/>
            <w:vMerge w:val="continue"/>
            <w:tcBorders>
              <w:top w:val="single" w:color="auto" w:sz="4" w:space="0"/>
              <w:left w:val="single" w:color="auto" w:sz="4" w:space="0"/>
              <w:bottom w:val="single" w:color="auto" w:sz="4" w:space="0"/>
              <w:right w:val="single" w:color="auto" w:sz="4" w:space="0"/>
            </w:tcBorders>
            <w:vAlign w:val="center"/>
          </w:tcPr>
          <w:p w14:paraId="5C15A129">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1276" w:type="dxa"/>
            <w:tcBorders>
              <w:top w:val="single" w:color="auto" w:sz="4" w:space="0"/>
              <w:left w:val="single" w:color="auto" w:sz="4" w:space="0"/>
              <w:bottom w:val="single" w:color="auto" w:sz="4" w:space="0"/>
              <w:right w:val="single" w:color="auto" w:sz="4" w:space="0"/>
            </w:tcBorders>
            <w:vAlign w:val="center"/>
          </w:tcPr>
          <w:p w14:paraId="3527BE33">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板、墙、壳</w:t>
            </w:r>
          </w:p>
        </w:tc>
        <w:tc>
          <w:tcPr>
            <w:tcW w:w="1417" w:type="dxa"/>
            <w:tcBorders>
              <w:top w:val="single" w:color="auto" w:sz="4" w:space="0"/>
              <w:left w:val="single" w:color="auto" w:sz="4" w:space="0"/>
              <w:bottom w:val="single" w:color="auto" w:sz="4" w:space="0"/>
              <w:right w:val="single" w:color="auto" w:sz="4" w:space="0"/>
            </w:tcBorders>
            <w:vAlign w:val="center"/>
          </w:tcPr>
          <w:p w14:paraId="780DE20E">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±3</w:t>
            </w:r>
          </w:p>
        </w:tc>
      </w:tr>
      <w:tr w14:paraId="4C187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tcBorders>
              <w:top w:val="single" w:color="auto" w:sz="4" w:space="0"/>
              <w:left w:val="single" w:color="auto" w:sz="4" w:space="0"/>
              <w:bottom w:val="single" w:color="auto" w:sz="4" w:space="0"/>
              <w:right w:val="single" w:color="auto" w:sz="4" w:space="0"/>
            </w:tcBorders>
            <w:vAlign w:val="center"/>
          </w:tcPr>
          <w:p w14:paraId="334C165F">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992" w:type="dxa"/>
            <w:vMerge w:val="continue"/>
            <w:tcBorders>
              <w:top w:val="single" w:color="auto" w:sz="4" w:space="0"/>
              <w:left w:val="single" w:color="auto" w:sz="4" w:space="0"/>
              <w:bottom w:val="single" w:color="auto" w:sz="4" w:space="0"/>
              <w:right w:val="single" w:color="auto" w:sz="4" w:space="0"/>
            </w:tcBorders>
            <w:vAlign w:val="center"/>
          </w:tcPr>
          <w:p w14:paraId="69549500">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4678" w:type="dxa"/>
            <w:gridSpan w:val="3"/>
            <w:tcBorders>
              <w:top w:val="single" w:color="auto" w:sz="4" w:space="0"/>
              <w:left w:val="single" w:color="auto" w:sz="4" w:space="0"/>
              <w:bottom w:val="single" w:color="auto" w:sz="4" w:space="0"/>
              <w:right w:val="single" w:color="auto" w:sz="4" w:space="0"/>
            </w:tcBorders>
            <w:vAlign w:val="center"/>
          </w:tcPr>
          <w:p w14:paraId="4D632923">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绑扎箍筋、横向钢筋间距</w:t>
            </w:r>
          </w:p>
        </w:tc>
        <w:tc>
          <w:tcPr>
            <w:tcW w:w="1417" w:type="dxa"/>
            <w:tcBorders>
              <w:top w:val="single" w:color="auto" w:sz="4" w:space="0"/>
              <w:left w:val="single" w:color="auto" w:sz="4" w:space="0"/>
              <w:bottom w:val="single" w:color="auto" w:sz="4" w:space="0"/>
              <w:right w:val="single" w:color="auto" w:sz="4" w:space="0"/>
            </w:tcBorders>
            <w:vAlign w:val="center"/>
          </w:tcPr>
          <w:p w14:paraId="4A3B9F6A">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±20</w:t>
            </w:r>
          </w:p>
        </w:tc>
      </w:tr>
      <w:tr w14:paraId="170FA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tcBorders>
              <w:top w:val="single" w:color="auto" w:sz="4" w:space="0"/>
              <w:left w:val="single" w:color="auto" w:sz="4" w:space="0"/>
              <w:bottom w:val="single" w:color="auto" w:sz="4" w:space="0"/>
              <w:right w:val="single" w:color="auto" w:sz="4" w:space="0"/>
            </w:tcBorders>
            <w:vAlign w:val="center"/>
          </w:tcPr>
          <w:p w14:paraId="17957F80">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992" w:type="dxa"/>
            <w:vMerge w:val="continue"/>
            <w:tcBorders>
              <w:top w:val="single" w:color="auto" w:sz="4" w:space="0"/>
              <w:left w:val="single" w:color="auto" w:sz="4" w:space="0"/>
              <w:bottom w:val="single" w:color="auto" w:sz="4" w:space="0"/>
              <w:right w:val="single" w:color="auto" w:sz="4" w:space="0"/>
            </w:tcBorders>
            <w:vAlign w:val="center"/>
          </w:tcPr>
          <w:p w14:paraId="2C1581E0">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4678" w:type="dxa"/>
            <w:gridSpan w:val="3"/>
            <w:tcBorders>
              <w:top w:val="single" w:color="auto" w:sz="4" w:space="0"/>
              <w:left w:val="single" w:color="auto" w:sz="4" w:space="0"/>
              <w:bottom w:val="single" w:color="auto" w:sz="4" w:space="0"/>
              <w:right w:val="single" w:color="auto" w:sz="4" w:space="0"/>
            </w:tcBorders>
            <w:vAlign w:val="center"/>
          </w:tcPr>
          <w:p w14:paraId="34EBF52A">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钢筋弯起点位置</w:t>
            </w:r>
          </w:p>
        </w:tc>
        <w:tc>
          <w:tcPr>
            <w:tcW w:w="1417" w:type="dxa"/>
            <w:tcBorders>
              <w:top w:val="single" w:color="auto" w:sz="4" w:space="0"/>
              <w:left w:val="single" w:color="auto" w:sz="4" w:space="0"/>
              <w:bottom w:val="single" w:color="auto" w:sz="4" w:space="0"/>
              <w:right w:val="single" w:color="auto" w:sz="4" w:space="0"/>
            </w:tcBorders>
            <w:vAlign w:val="center"/>
          </w:tcPr>
          <w:p w14:paraId="576E4F32">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20</w:t>
            </w:r>
          </w:p>
        </w:tc>
      </w:tr>
      <w:tr w14:paraId="4F292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tcBorders>
              <w:top w:val="single" w:color="auto" w:sz="4" w:space="0"/>
              <w:left w:val="single" w:color="auto" w:sz="4" w:space="0"/>
              <w:bottom w:val="single" w:color="auto" w:sz="4" w:space="0"/>
              <w:right w:val="single" w:color="auto" w:sz="4" w:space="0"/>
            </w:tcBorders>
            <w:vAlign w:val="center"/>
          </w:tcPr>
          <w:p w14:paraId="3955CF23">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992" w:type="dxa"/>
            <w:vMerge w:val="continue"/>
            <w:tcBorders>
              <w:top w:val="single" w:color="auto" w:sz="4" w:space="0"/>
              <w:left w:val="single" w:color="auto" w:sz="4" w:space="0"/>
              <w:bottom w:val="single" w:color="auto" w:sz="4" w:space="0"/>
              <w:right w:val="single" w:color="auto" w:sz="4" w:space="0"/>
            </w:tcBorders>
            <w:vAlign w:val="center"/>
          </w:tcPr>
          <w:p w14:paraId="1AD8C6F4">
            <w:pPr>
              <w:keepNext w:val="0"/>
              <w:keepLines w:val="0"/>
              <w:pageBreakBefore w:val="0"/>
              <w:widowControl w:val="0"/>
              <w:numPr>
                <w:ilvl w:val="0"/>
                <w:numId w:val="1"/>
              </w:numPr>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p>
        </w:tc>
        <w:tc>
          <w:tcPr>
            <w:tcW w:w="2126" w:type="dxa"/>
            <w:tcBorders>
              <w:top w:val="single" w:color="auto" w:sz="4" w:space="0"/>
              <w:left w:val="single" w:color="auto" w:sz="4" w:space="0"/>
              <w:bottom w:val="single" w:color="auto" w:sz="4" w:space="0"/>
              <w:right w:val="single" w:color="auto" w:sz="4" w:space="0"/>
            </w:tcBorders>
            <w:vAlign w:val="center"/>
          </w:tcPr>
          <w:p w14:paraId="151036EE">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预埋件</w:t>
            </w:r>
          </w:p>
        </w:tc>
        <w:tc>
          <w:tcPr>
            <w:tcW w:w="2552" w:type="dxa"/>
            <w:gridSpan w:val="2"/>
            <w:tcBorders>
              <w:top w:val="single" w:color="auto" w:sz="4" w:space="0"/>
              <w:left w:val="single" w:color="auto" w:sz="4" w:space="0"/>
              <w:bottom w:val="single" w:color="auto" w:sz="4" w:space="0"/>
              <w:right w:val="single" w:color="auto" w:sz="4" w:space="0"/>
            </w:tcBorders>
            <w:vAlign w:val="center"/>
          </w:tcPr>
          <w:p w14:paraId="525A087A">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中心线位置</w:t>
            </w:r>
          </w:p>
        </w:tc>
        <w:tc>
          <w:tcPr>
            <w:tcW w:w="1417" w:type="dxa"/>
            <w:tcBorders>
              <w:top w:val="single" w:color="auto" w:sz="4" w:space="0"/>
              <w:left w:val="single" w:color="auto" w:sz="4" w:space="0"/>
              <w:bottom w:val="single" w:color="auto" w:sz="4" w:space="0"/>
              <w:right w:val="single" w:color="auto" w:sz="4" w:space="0"/>
            </w:tcBorders>
            <w:vAlign w:val="center"/>
          </w:tcPr>
          <w:p w14:paraId="224FC455">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1"/>
                <w:szCs w:val="21"/>
                <w:lang w:bidi="ar"/>
              </w:rPr>
            </w:pPr>
            <w:r>
              <w:rPr>
                <w:rFonts w:hint="eastAsia" w:hAnsi="宋体" w:cs="宋体"/>
                <w:color w:val="auto"/>
                <w:kern w:val="2"/>
                <w:sz w:val="21"/>
                <w:szCs w:val="21"/>
                <w:lang w:bidi="ar"/>
              </w:rPr>
              <w:t>5</w:t>
            </w:r>
          </w:p>
        </w:tc>
      </w:tr>
    </w:tbl>
    <w:p w14:paraId="431839B1">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10.</w:t>
      </w:r>
      <w:r>
        <w:rPr>
          <w:rFonts w:hint="eastAsia" w:hAnsi="宋体" w:cs="宋体"/>
          <w:color w:val="auto"/>
          <w:kern w:val="2"/>
          <w:sz w:val="28"/>
          <w:szCs w:val="28"/>
          <w:lang w:bidi="ar"/>
        </w:rPr>
        <w:t>1</w:t>
      </w:r>
      <w:r>
        <w:rPr>
          <w:rFonts w:hint="eastAsia" w:hAnsi="宋体" w:cs="宋体"/>
          <w:color w:val="auto"/>
          <w:kern w:val="2"/>
          <w:sz w:val="28"/>
          <w:szCs w:val="28"/>
          <w:lang w:val="en-US" w:eastAsia="zh-CN" w:bidi="ar"/>
        </w:rPr>
        <w:t>5</w:t>
      </w:r>
      <w:r>
        <w:rPr>
          <w:rFonts w:hint="eastAsia" w:hAnsi="宋体" w:cs="宋体"/>
          <w:color w:val="auto"/>
          <w:kern w:val="2"/>
          <w:sz w:val="28"/>
          <w:szCs w:val="28"/>
          <w:lang w:bidi="ar"/>
        </w:rPr>
        <w:t>钢筋工程质量应符合《 混凝土结构工程施工质量验收规范》（GB50204-2015）、《混凝土结构工程施工规范》（GB50666-2011）、《钢筋机械连接技术规程》（JGJ107-2016）、《钢筋焊接及试验规范》（JGJ18-2016）、《22G101系列图集》、《安徽省住宅工程质量通病防治技术规程》等现行国家技术标准规程的要求。</w:t>
      </w:r>
    </w:p>
    <w:p w14:paraId="2C5E4E7E">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10.</w:t>
      </w:r>
      <w:r>
        <w:rPr>
          <w:rFonts w:hint="eastAsia" w:hAnsi="宋体" w:cs="宋体"/>
          <w:color w:val="auto"/>
          <w:kern w:val="2"/>
          <w:sz w:val="28"/>
          <w:szCs w:val="28"/>
          <w:lang w:bidi="ar"/>
        </w:rPr>
        <w:t>1</w:t>
      </w:r>
      <w:r>
        <w:rPr>
          <w:rFonts w:hint="eastAsia" w:hAnsi="宋体" w:cs="宋体"/>
          <w:color w:val="auto"/>
          <w:kern w:val="2"/>
          <w:sz w:val="28"/>
          <w:szCs w:val="28"/>
          <w:lang w:val="en-US" w:eastAsia="zh-CN" w:bidi="ar"/>
        </w:rPr>
        <w:t>6</w:t>
      </w:r>
      <w:r>
        <w:rPr>
          <w:rFonts w:hint="eastAsia" w:hAnsi="宋体" w:cs="宋体"/>
          <w:color w:val="auto"/>
          <w:kern w:val="2"/>
          <w:sz w:val="28"/>
          <w:szCs w:val="28"/>
          <w:lang w:bidi="ar"/>
        </w:rPr>
        <w:t>①．电焊工必须持证上岗，钢筋焊接应精心细致，应符合规范要求及机械试验性能标准，对钢筋焊接试验不合格的，每批次处于500元罚款。</w:t>
      </w:r>
    </w:p>
    <w:p w14:paraId="6170275C">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②．钢筋安装过程中，未经总包项目部技术负责人同意，严禁作业人员使用电焊、气焊对钢筋进行烘烤或切割，一经发现，对于已安装的钢筋需全部拆除，并给予1000-3000元罚款。</w:t>
      </w:r>
    </w:p>
    <w:p w14:paraId="068BDF7C">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③．钢筋安装时，钢筋的品种、级别、规格和数量必须符合设计要求，严禁少放、漏放或多方，或锚固搭接位置、长度错误。少放、漏放、错放或多</w:t>
      </w:r>
      <w:r>
        <w:rPr>
          <w:rFonts w:hint="eastAsia" w:hAnsi="宋体" w:cs="宋体"/>
          <w:color w:val="auto"/>
          <w:kern w:val="2"/>
          <w:sz w:val="28"/>
          <w:szCs w:val="28"/>
          <w:lang w:val="en-US" w:eastAsia="zh-CN" w:bidi="ar"/>
        </w:rPr>
        <w:t>放</w:t>
      </w:r>
      <w:r>
        <w:rPr>
          <w:rFonts w:hint="eastAsia" w:hAnsi="宋体" w:cs="宋体"/>
          <w:color w:val="auto"/>
          <w:kern w:val="2"/>
          <w:sz w:val="28"/>
          <w:szCs w:val="28"/>
          <w:lang w:bidi="ar"/>
        </w:rPr>
        <w:t>钢筋，发现后补上，并给予100-300元/根的处罚。对锚固、搭接的位置和长度错误的部位，如无法进行调整，必须采用另加钢筋搭接绑扎处理的，除给予100-300元/根的罚款外，额外增加的钢筋由劳务（专业）分包承担另加钢筋5倍价格的罚款。</w:t>
      </w:r>
    </w:p>
    <w:p w14:paraId="776E1CA4">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④．钢筋绑扎一次性验收，如出现品种、级别、规格、数量、尺寸、纵向钢筋间距、箍筋和拉筋的间距、锚固长度、搭接长度、结构设置等不符合设计要求和规范要求的，根据具体情况给予50-200元/处的罚款。</w:t>
      </w:r>
    </w:p>
    <w:p w14:paraId="4D13393B">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⑤．劳务分包应严格控制钢筋保护层厚度，措施方案及垫块选择应严格按照总包项目部方案要求，施工过程中，严格执行。使用不合格的垫块或垫块漏放的，处以20元/处的罚款。</w:t>
      </w:r>
    </w:p>
    <w:p w14:paraId="5EB21B95">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t>⑥．电渣压力焊检查偏心、融化点不均按接头个数处以10元/个；接头焊接完毕，敲去渣壳后发现焊包表面四周凸出钢筋表面小于4mm的，处以40元/个罚款；焊包渣及墙柱内焊渣清理不干净处以10-20元/处；如果重复出现，双倍罚款。</w:t>
      </w:r>
    </w:p>
    <w:p w14:paraId="3965B870">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bidi="ar"/>
        </w:rPr>
        <w:fldChar w:fldCharType="begin"/>
      </w:r>
      <w:r>
        <w:rPr>
          <w:rFonts w:hint="eastAsia" w:hAnsi="宋体" w:cs="宋体"/>
          <w:color w:val="auto"/>
          <w:kern w:val="2"/>
          <w:sz w:val="28"/>
          <w:szCs w:val="28"/>
          <w:lang w:bidi="ar"/>
        </w:rPr>
        <w:instrText xml:space="preserve"> = 7 \* GB3 </w:instrText>
      </w:r>
      <w:r>
        <w:rPr>
          <w:rFonts w:hint="eastAsia" w:hAnsi="宋体" w:cs="宋体"/>
          <w:color w:val="auto"/>
          <w:kern w:val="2"/>
          <w:sz w:val="28"/>
          <w:szCs w:val="28"/>
          <w:lang w:bidi="ar"/>
        </w:rPr>
        <w:fldChar w:fldCharType="separate"/>
      </w:r>
      <w:r>
        <w:rPr>
          <w:rFonts w:hint="eastAsia" w:hAnsi="宋体" w:cs="宋体"/>
          <w:color w:val="auto"/>
          <w:kern w:val="2"/>
          <w:sz w:val="28"/>
          <w:szCs w:val="28"/>
          <w:lang w:bidi="ar"/>
        </w:rPr>
        <w:t>⑦</w:t>
      </w:r>
      <w:r>
        <w:rPr>
          <w:rFonts w:hint="eastAsia" w:hAnsi="宋体" w:cs="宋体"/>
          <w:color w:val="auto"/>
          <w:kern w:val="2"/>
          <w:sz w:val="28"/>
          <w:szCs w:val="28"/>
          <w:lang w:bidi="ar"/>
        </w:rPr>
        <w:fldChar w:fldCharType="end"/>
      </w:r>
      <w:r>
        <w:rPr>
          <w:rFonts w:hint="eastAsia" w:hAnsi="宋体" w:cs="宋体"/>
          <w:color w:val="auto"/>
          <w:kern w:val="2"/>
          <w:sz w:val="28"/>
          <w:szCs w:val="28"/>
          <w:lang w:bidi="ar"/>
        </w:rPr>
        <w:t>．钢筋采取机械连接时，最小拧紧力矩应符合相关规定，外漏丝扣2P，否则给予50元/个的罚款。</w:t>
      </w:r>
    </w:p>
    <w:p w14:paraId="7EAF6463">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bidi="ar"/>
        </w:rPr>
      </w:pPr>
      <w:r>
        <w:rPr>
          <w:rFonts w:hint="eastAsia" w:hAnsi="宋体" w:cs="宋体"/>
          <w:color w:val="auto"/>
          <w:kern w:val="2"/>
          <w:sz w:val="28"/>
          <w:szCs w:val="28"/>
          <w:lang w:val="en-US" w:eastAsia="zh-CN" w:bidi="ar"/>
        </w:rPr>
        <w:t>10.</w:t>
      </w:r>
      <w:r>
        <w:rPr>
          <w:rFonts w:hint="eastAsia" w:hAnsi="宋体" w:cs="宋体"/>
          <w:color w:val="auto"/>
          <w:kern w:val="2"/>
          <w:sz w:val="28"/>
          <w:szCs w:val="28"/>
          <w:lang w:bidi="ar"/>
        </w:rPr>
        <w:t>1</w:t>
      </w:r>
      <w:r>
        <w:rPr>
          <w:rFonts w:hint="eastAsia" w:hAnsi="宋体" w:cs="宋体"/>
          <w:color w:val="auto"/>
          <w:kern w:val="2"/>
          <w:sz w:val="28"/>
          <w:szCs w:val="28"/>
          <w:lang w:val="en-US" w:eastAsia="zh-CN" w:bidi="ar"/>
        </w:rPr>
        <w:t>7</w:t>
      </w:r>
      <w:r>
        <w:rPr>
          <w:rFonts w:hint="eastAsia" w:hAnsi="宋体" w:cs="宋体"/>
          <w:color w:val="auto"/>
          <w:kern w:val="2"/>
          <w:sz w:val="28"/>
          <w:szCs w:val="28"/>
          <w:lang w:bidi="ar"/>
        </w:rPr>
        <w:t>钢筋直径≥1</w:t>
      </w:r>
      <w:r>
        <w:rPr>
          <w:rFonts w:hint="eastAsia" w:hAnsi="宋体" w:cs="宋体"/>
          <w:color w:val="auto"/>
          <w:kern w:val="2"/>
          <w:sz w:val="28"/>
          <w:szCs w:val="28"/>
          <w:lang w:val="en-US" w:eastAsia="zh-CN" w:bidi="ar"/>
        </w:rPr>
        <w:t>2</w:t>
      </w:r>
      <w:r>
        <w:rPr>
          <w:rFonts w:hint="eastAsia" w:hAnsi="宋体" w:cs="宋体"/>
          <w:color w:val="auto"/>
          <w:kern w:val="2"/>
          <w:sz w:val="28"/>
          <w:szCs w:val="28"/>
          <w:lang w:bidi="ar"/>
        </w:rPr>
        <w:t>采用机械连接或者</w:t>
      </w:r>
      <w:r>
        <w:rPr>
          <w:rFonts w:hint="eastAsia" w:hAnsi="宋体" w:cs="宋体"/>
          <w:color w:val="auto"/>
          <w:kern w:val="2"/>
          <w:sz w:val="28"/>
          <w:szCs w:val="28"/>
          <w:lang w:val="en-US" w:eastAsia="zh-CN" w:bidi="ar"/>
        </w:rPr>
        <w:t>焊接</w:t>
      </w:r>
      <w:r>
        <w:rPr>
          <w:rFonts w:hint="eastAsia" w:hAnsi="宋体" w:cs="宋体"/>
          <w:color w:val="auto"/>
          <w:kern w:val="2"/>
          <w:sz w:val="28"/>
          <w:szCs w:val="28"/>
          <w:lang w:eastAsia="zh-CN" w:bidi="ar"/>
        </w:rPr>
        <w:t>，不允许搭接；</w:t>
      </w:r>
      <w:r>
        <w:rPr>
          <w:rFonts w:hint="eastAsia" w:hAnsi="宋体" w:cs="宋体"/>
          <w:color w:val="auto"/>
          <w:kern w:val="2"/>
          <w:sz w:val="28"/>
          <w:szCs w:val="28"/>
          <w:lang w:bidi="ar"/>
        </w:rPr>
        <w:t>钢筋直径≥20mm</w:t>
      </w:r>
      <w:r>
        <w:rPr>
          <w:rFonts w:hint="eastAsia" w:hAnsi="宋体" w:cs="宋体"/>
          <w:color w:val="auto"/>
          <w:kern w:val="2"/>
          <w:sz w:val="28"/>
          <w:szCs w:val="28"/>
          <w:lang w:val="en-US" w:eastAsia="zh-CN" w:bidi="ar"/>
        </w:rPr>
        <w:t>必须</w:t>
      </w:r>
      <w:r>
        <w:rPr>
          <w:rFonts w:hint="eastAsia" w:hAnsi="宋体" w:cs="宋体"/>
          <w:color w:val="auto"/>
          <w:kern w:val="2"/>
          <w:sz w:val="28"/>
          <w:szCs w:val="28"/>
          <w:lang w:bidi="ar"/>
        </w:rPr>
        <w:t>采用等机械连接接头，</w:t>
      </w:r>
      <w:r>
        <w:rPr>
          <w:rFonts w:hint="eastAsia" w:hAnsi="宋体" w:cs="宋体"/>
          <w:color w:val="auto"/>
          <w:kern w:val="2"/>
          <w:sz w:val="28"/>
          <w:szCs w:val="28"/>
          <w:lang w:val="en-US" w:eastAsia="zh-CN" w:bidi="ar"/>
        </w:rPr>
        <w:t>地下室筏板钢筋采用机械连接、闪光对焊或单（双）边焊、电弧焊（具体连接方式施工前由招标人确定）</w:t>
      </w:r>
      <w:r>
        <w:rPr>
          <w:rFonts w:hint="eastAsia" w:hAnsi="宋体" w:cs="宋体"/>
          <w:color w:val="auto"/>
          <w:kern w:val="2"/>
          <w:sz w:val="28"/>
          <w:szCs w:val="28"/>
          <w:lang w:bidi="ar"/>
        </w:rPr>
        <w:t>。</w:t>
      </w:r>
    </w:p>
    <w:p w14:paraId="7A644C88">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val="en-US" w:eastAsia="zh-CN" w:bidi="ar"/>
        </w:rPr>
      </w:pPr>
      <w:r>
        <w:rPr>
          <w:rFonts w:hint="eastAsia" w:hAnsi="宋体" w:cs="宋体"/>
          <w:color w:val="auto"/>
          <w:kern w:val="2"/>
          <w:sz w:val="28"/>
          <w:szCs w:val="28"/>
          <w:lang w:val="en-US" w:eastAsia="zh-CN" w:bidi="ar"/>
        </w:rPr>
        <w:t>10.18 包括</w:t>
      </w:r>
      <w:r>
        <w:rPr>
          <w:rFonts w:hint="eastAsia" w:ascii="宋体" w:hAnsi="宋体" w:eastAsia="宋体" w:cs="宋体"/>
          <w:color w:val="auto"/>
          <w:kern w:val="2"/>
          <w:sz w:val="28"/>
          <w:szCs w:val="28"/>
          <w:lang w:val="en-US" w:eastAsia="zh-CN" w:bidi="ar"/>
        </w:rPr>
        <w:t>图纸范围所有型钢柱、型钢梁钢骨架钢筋焊接或穿孔。梁钢筋穿过型钢柱时，如需与钢板（托板）焊接（气体保护焊）由</w:t>
      </w:r>
      <w:r>
        <w:rPr>
          <w:rFonts w:hint="eastAsia" w:hAnsi="宋体" w:cs="宋体"/>
          <w:color w:val="auto"/>
          <w:kern w:val="2"/>
          <w:sz w:val="28"/>
          <w:szCs w:val="28"/>
          <w:lang w:val="en-US" w:eastAsia="zh-CN" w:bidi="ar"/>
        </w:rPr>
        <w:t>投标</w:t>
      </w:r>
      <w:r>
        <w:rPr>
          <w:rFonts w:hint="eastAsia" w:ascii="宋体" w:hAnsi="宋体" w:eastAsia="宋体" w:cs="宋体"/>
          <w:color w:val="auto"/>
          <w:kern w:val="2"/>
          <w:sz w:val="28"/>
          <w:szCs w:val="28"/>
          <w:lang w:val="en-US" w:eastAsia="zh-CN" w:bidi="ar"/>
        </w:rPr>
        <w:t>方配置专业焊接人员（含焊接材料、机具）。投标人负责桩头钢筋清理并与承台钢筋之间做好绑扎连接工作</w:t>
      </w:r>
      <w:r>
        <w:rPr>
          <w:rFonts w:hint="eastAsia" w:hAnsi="宋体" w:cs="宋体"/>
          <w:color w:val="auto"/>
          <w:kern w:val="2"/>
          <w:sz w:val="28"/>
          <w:szCs w:val="28"/>
          <w:lang w:val="en-US" w:eastAsia="zh-CN" w:bidi="ar"/>
        </w:rPr>
        <w:t>。</w:t>
      </w:r>
    </w:p>
    <w:p w14:paraId="02694FE7">
      <w:pPr>
        <w:pStyle w:val="2"/>
        <w:keepNext w:val="0"/>
        <w:keepLines w:val="0"/>
        <w:pageBreakBefore w:val="0"/>
        <w:widowControl w:val="0"/>
        <w:kinsoku/>
        <w:wordWrap/>
        <w:overflowPunct/>
        <w:topLinePunct w:val="0"/>
        <w:autoSpaceDE/>
        <w:autoSpaceDN/>
        <w:bidi w:val="0"/>
        <w:spacing w:line="240" w:lineRule="auto"/>
        <w:jc w:val="both"/>
        <w:textAlignment w:val="auto"/>
        <w:rPr>
          <w:rFonts w:hint="default"/>
          <w:color w:val="auto"/>
          <w:highlight w:val="yellow"/>
          <w:lang w:val="en-US" w:eastAsia="zh-CN"/>
        </w:rPr>
      </w:pPr>
      <w:r>
        <w:rPr>
          <w:rFonts w:hint="eastAsia" w:hAnsi="宋体" w:cs="宋体"/>
          <w:color w:val="auto"/>
          <w:kern w:val="2"/>
          <w:sz w:val="28"/>
          <w:szCs w:val="28"/>
          <w:highlight w:val="yellow"/>
          <w:lang w:val="en-US" w:eastAsia="zh-CN" w:bidi="ar"/>
        </w:rPr>
        <w:t>10.19后浇带钢筋的二次恢复、调直绑扎；型钢结构交叉施工按项目部指令进行作业。</w:t>
      </w:r>
    </w:p>
    <w:p w14:paraId="1E4024BE">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kern w:val="2"/>
          <w:sz w:val="28"/>
          <w:szCs w:val="28"/>
          <w:lang w:val="en-US" w:eastAsia="zh-CN" w:bidi="ar"/>
        </w:rPr>
      </w:pPr>
      <w:r>
        <w:rPr>
          <w:rFonts w:hint="eastAsia" w:hAnsi="宋体" w:cs="宋体"/>
          <w:color w:val="auto"/>
          <w:kern w:val="2"/>
          <w:sz w:val="28"/>
          <w:szCs w:val="28"/>
          <w:lang w:val="en-US" w:eastAsia="zh-CN" w:bidi="ar"/>
        </w:rPr>
        <w:t>以上所有内容均包含在综合单价内，投标时综合考虑，后期不予调整。</w:t>
      </w:r>
    </w:p>
    <w:p w14:paraId="31D29C72">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8"/>
          <w:szCs w:val="28"/>
          <w:lang w:val="en-US" w:eastAsia="zh-CN" w:bidi="ar"/>
        </w:rPr>
      </w:pPr>
      <w:r>
        <w:rPr>
          <w:rFonts w:hint="eastAsia" w:hAnsi="宋体" w:cs="宋体"/>
          <w:color w:val="auto"/>
          <w:kern w:val="2"/>
          <w:sz w:val="28"/>
          <w:szCs w:val="28"/>
          <w:lang w:val="en-US" w:eastAsia="zh-CN" w:bidi="ar"/>
        </w:rPr>
        <w:t>11附主要做法标准图片</w:t>
      </w:r>
    </w:p>
    <w:p w14:paraId="43E24BE2">
      <w:pPr>
        <w:keepNext w:val="0"/>
        <w:keepLines w:val="0"/>
        <w:pageBreakBefore w:val="0"/>
        <w:widowControl w:val="0"/>
        <w:kinsoku/>
        <w:wordWrap/>
        <w:overflowPunct/>
        <w:topLinePunct w:val="0"/>
        <w:autoSpaceDE/>
        <w:autoSpaceDN/>
        <w:bidi w:val="0"/>
        <w:spacing w:line="240" w:lineRule="auto"/>
        <w:jc w:val="both"/>
        <w:textAlignment w:val="auto"/>
        <w:rPr>
          <w:rFonts w:hint="eastAsia" w:eastAsia="宋体"/>
          <w:color w:val="auto"/>
          <w:sz w:val="24"/>
          <w:szCs w:val="24"/>
          <w:lang w:eastAsia="zh-CN"/>
        </w:rPr>
      </w:pPr>
      <w:r>
        <w:rPr>
          <w:rFonts w:hint="eastAsia" w:hAnsi="宋体" w:cs="宋体"/>
          <w:color w:val="auto"/>
          <w:kern w:val="2"/>
          <w:sz w:val="24"/>
          <w:szCs w:val="24"/>
          <w:lang w:val="en-US" w:eastAsia="zh-CN" w:bidi="ar"/>
        </w:rPr>
        <w:t>11.1钢筋套丝可以在钢筋加工场进行预制。丝头加工时，应采用水溶性切削液，不得使用油性润滑液操作（通规能拧到丝头最底部、止规只能拧到丝头第三丝扣、加工完成后戴上保护帽）。</w:t>
      </w:r>
    </w:p>
    <w:p w14:paraId="533FEABF">
      <w:pPr>
        <w:keepNext w:val="0"/>
        <w:keepLines w:val="0"/>
        <w:pageBreakBefore w:val="0"/>
        <w:widowControl w:val="0"/>
        <w:kinsoku/>
        <w:wordWrap/>
        <w:overflowPunct/>
        <w:topLinePunct w:val="0"/>
        <w:autoSpaceDE/>
        <w:autoSpaceDN/>
        <w:bidi w:val="0"/>
        <w:spacing w:line="240" w:lineRule="auto"/>
        <w:jc w:val="both"/>
        <w:textAlignment w:val="auto"/>
        <w:rPr>
          <w:color w:val="auto"/>
        </w:rPr>
      </w:pPr>
      <w:r>
        <w:rPr>
          <w:color w:val="auto"/>
        </w:rPr>
        <w:drawing>
          <wp:inline distT="0" distB="0" distL="0" distR="0">
            <wp:extent cx="2700020" cy="1656080"/>
            <wp:effectExtent l="0" t="0" r="9525" b="6350"/>
            <wp:docPr id="315" name="image1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5" name="image129.jpeg"/>
                    <pic:cNvPicPr>
                      <a:picLocks noChangeAspect="1"/>
                    </pic:cNvPicPr>
                  </pic:nvPicPr>
                  <pic:blipFill>
                    <a:blip r:embed="rId37" cstate="print"/>
                    <a:stretch>
                      <a:fillRect/>
                    </a:stretch>
                  </pic:blipFill>
                  <pic:spPr>
                    <a:xfrm>
                      <a:off x="0" y="0"/>
                      <a:ext cx="2700020" cy="1656080"/>
                    </a:xfrm>
                    <a:prstGeom prst="rect">
                      <a:avLst/>
                    </a:prstGeom>
                  </pic:spPr>
                </pic:pic>
              </a:graphicData>
            </a:graphic>
          </wp:inline>
        </w:drawing>
      </w:r>
      <w:r>
        <w:rPr>
          <w:rFonts w:hint="eastAsia"/>
          <w:color w:val="auto"/>
          <w:lang w:val="en-US" w:eastAsia="zh-CN"/>
        </w:rPr>
        <w:t xml:space="preserve"> </w:t>
      </w:r>
      <w:r>
        <w:rPr>
          <w:color w:val="auto"/>
        </w:rPr>
        <w:drawing>
          <wp:inline distT="0" distB="0" distL="0" distR="0">
            <wp:extent cx="2700020" cy="1619885"/>
            <wp:effectExtent l="0" t="0" r="9525" b="10160"/>
            <wp:docPr id="321" name="image1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 name="image132.jpeg"/>
                    <pic:cNvPicPr>
                      <a:picLocks noChangeAspect="1"/>
                    </pic:cNvPicPr>
                  </pic:nvPicPr>
                  <pic:blipFill>
                    <a:blip r:embed="rId38" cstate="print"/>
                    <a:stretch>
                      <a:fillRect/>
                    </a:stretch>
                  </pic:blipFill>
                  <pic:spPr>
                    <a:xfrm>
                      <a:off x="0" y="0"/>
                      <a:ext cx="2700020" cy="1619885"/>
                    </a:xfrm>
                    <a:prstGeom prst="rect">
                      <a:avLst/>
                    </a:prstGeom>
                  </pic:spPr>
                </pic:pic>
              </a:graphicData>
            </a:graphic>
          </wp:inline>
        </w:drawing>
      </w:r>
    </w:p>
    <w:p w14:paraId="022217F8">
      <w:pPr>
        <w:keepNext w:val="0"/>
        <w:keepLines w:val="0"/>
        <w:pageBreakBefore w:val="0"/>
        <w:widowControl w:val="0"/>
        <w:kinsoku/>
        <w:wordWrap/>
        <w:overflowPunct/>
        <w:topLinePunct w:val="0"/>
        <w:autoSpaceDE/>
        <w:autoSpaceDN/>
        <w:bidi w:val="0"/>
        <w:spacing w:line="240" w:lineRule="auto"/>
        <w:jc w:val="both"/>
        <w:textAlignment w:val="auto"/>
        <w:rPr>
          <w:color w:val="auto"/>
        </w:rPr>
      </w:pPr>
      <w:r>
        <w:rPr>
          <w:color w:val="auto"/>
        </w:rPr>
        <w:drawing>
          <wp:inline distT="0" distB="0" distL="0" distR="0">
            <wp:extent cx="2700020" cy="1548130"/>
            <wp:effectExtent l="0" t="0" r="9525" b="6350"/>
            <wp:docPr id="323" name="image133.jpeg"/>
            <wp:cNvGraphicFramePr/>
            <a:graphic xmlns:a="http://schemas.openxmlformats.org/drawingml/2006/main">
              <a:graphicData uri="http://schemas.openxmlformats.org/drawingml/2006/picture">
                <pic:pic xmlns:pic="http://schemas.openxmlformats.org/drawingml/2006/picture">
                  <pic:nvPicPr>
                    <pic:cNvPr id="323" name="image133.jpeg"/>
                    <pic:cNvPicPr/>
                  </pic:nvPicPr>
                  <pic:blipFill>
                    <a:blip r:embed="rId39" cstate="print"/>
                    <a:stretch>
                      <a:fillRect/>
                    </a:stretch>
                  </pic:blipFill>
                  <pic:spPr>
                    <a:xfrm>
                      <a:off x="0" y="0"/>
                      <a:ext cx="2700020" cy="1548130"/>
                    </a:xfrm>
                    <a:prstGeom prst="rect">
                      <a:avLst/>
                    </a:prstGeom>
                  </pic:spPr>
                </pic:pic>
              </a:graphicData>
            </a:graphic>
          </wp:inline>
        </w:drawing>
      </w:r>
      <w:r>
        <w:rPr>
          <w:rFonts w:hint="eastAsia"/>
          <w:color w:val="auto"/>
          <w:lang w:val="en-US" w:eastAsia="zh-CN"/>
        </w:rPr>
        <w:t xml:space="preserve"> </w:t>
      </w:r>
      <w:r>
        <w:rPr>
          <w:color w:val="auto"/>
        </w:rPr>
        <w:drawing>
          <wp:inline distT="0" distB="0" distL="0" distR="0">
            <wp:extent cx="2700020" cy="1548130"/>
            <wp:effectExtent l="0" t="0" r="9525" b="6350"/>
            <wp:docPr id="325" name="image134.jpeg"/>
            <wp:cNvGraphicFramePr/>
            <a:graphic xmlns:a="http://schemas.openxmlformats.org/drawingml/2006/main">
              <a:graphicData uri="http://schemas.openxmlformats.org/drawingml/2006/picture">
                <pic:pic xmlns:pic="http://schemas.openxmlformats.org/drawingml/2006/picture">
                  <pic:nvPicPr>
                    <pic:cNvPr id="325" name="image134.jpeg"/>
                    <pic:cNvPicPr/>
                  </pic:nvPicPr>
                  <pic:blipFill>
                    <a:blip r:embed="rId40" cstate="print"/>
                    <a:stretch>
                      <a:fillRect/>
                    </a:stretch>
                  </pic:blipFill>
                  <pic:spPr>
                    <a:xfrm>
                      <a:off x="0" y="0"/>
                      <a:ext cx="2700020" cy="1548130"/>
                    </a:xfrm>
                    <a:prstGeom prst="rect">
                      <a:avLst/>
                    </a:prstGeom>
                  </pic:spPr>
                </pic:pic>
              </a:graphicData>
            </a:graphic>
          </wp:inline>
        </w:drawing>
      </w:r>
    </w:p>
    <w:p w14:paraId="67B9FAE4">
      <w:pPr>
        <w:keepNext w:val="0"/>
        <w:keepLines w:val="0"/>
        <w:pageBreakBefore w:val="0"/>
        <w:widowControl w:val="0"/>
        <w:kinsoku/>
        <w:wordWrap/>
        <w:overflowPunct/>
        <w:topLinePunct w:val="0"/>
        <w:autoSpaceDE/>
        <w:autoSpaceDN/>
        <w:bidi w:val="0"/>
        <w:spacing w:line="240" w:lineRule="auto"/>
        <w:jc w:val="both"/>
        <w:textAlignment w:val="auto"/>
        <w:rPr>
          <w:color w:val="auto"/>
        </w:rPr>
      </w:pPr>
      <w:r>
        <w:rPr>
          <w:color w:val="auto"/>
        </w:rPr>
        <w:drawing>
          <wp:inline distT="0" distB="0" distL="0" distR="0">
            <wp:extent cx="3547110" cy="2607310"/>
            <wp:effectExtent l="0" t="0" r="4445" b="5080"/>
            <wp:docPr id="331" name="image1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 name="image136.jpeg"/>
                    <pic:cNvPicPr>
                      <a:picLocks noChangeAspect="1"/>
                    </pic:cNvPicPr>
                  </pic:nvPicPr>
                  <pic:blipFill>
                    <a:blip r:embed="rId41" cstate="print"/>
                    <a:stretch>
                      <a:fillRect/>
                    </a:stretch>
                  </pic:blipFill>
                  <pic:spPr>
                    <a:xfrm>
                      <a:off x="0" y="0"/>
                      <a:ext cx="3547110" cy="2607310"/>
                    </a:xfrm>
                    <a:prstGeom prst="rect">
                      <a:avLst/>
                    </a:prstGeom>
                  </pic:spPr>
                </pic:pic>
              </a:graphicData>
            </a:graphic>
          </wp:inline>
        </w:drawing>
      </w:r>
    </w:p>
    <w:p w14:paraId="35A42EC7">
      <w:pPr>
        <w:keepNext w:val="0"/>
        <w:keepLines w:val="0"/>
        <w:pageBreakBefore w:val="0"/>
        <w:widowControl w:val="0"/>
        <w:kinsoku/>
        <w:wordWrap/>
        <w:overflowPunct/>
        <w:topLinePunct w:val="0"/>
        <w:autoSpaceDE/>
        <w:autoSpaceDN/>
        <w:bidi w:val="0"/>
        <w:spacing w:line="240" w:lineRule="auto"/>
        <w:jc w:val="both"/>
        <w:textAlignment w:val="auto"/>
        <w:rPr>
          <w:color w:val="auto"/>
        </w:rPr>
      </w:pPr>
      <w:r>
        <w:rPr>
          <w:color w:val="auto"/>
        </w:rPr>
        <w:drawing>
          <wp:inline distT="0" distB="0" distL="114300" distR="114300">
            <wp:extent cx="2700020" cy="2232025"/>
            <wp:effectExtent l="0" t="0" r="9525" b="2540"/>
            <wp:docPr id="23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图片 10"/>
                    <pic:cNvPicPr>
                      <a:picLocks noChangeAspect="1"/>
                    </pic:cNvPicPr>
                  </pic:nvPicPr>
                  <pic:blipFill>
                    <a:blip r:embed="rId42"/>
                    <a:stretch>
                      <a:fillRect/>
                    </a:stretch>
                  </pic:blipFill>
                  <pic:spPr>
                    <a:xfrm>
                      <a:off x="0" y="0"/>
                      <a:ext cx="2700020" cy="2232025"/>
                    </a:xfrm>
                    <a:prstGeom prst="rect">
                      <a:avLst/>
                    </a:prstGeom>
                    <a:noFill/>
                    <a:ln>
                      <a:noFill/>
                    </a:ln>
                  </pic:spPr>
                </pic:pic>
              </a:graphicData>
            </a:graphic>
          </wp:inline>
        </w:drawing>
      </w:r>
      <w:r>
        <w:rPr>
          <w:color w:val="auto"/>
        </w:rPr>
        <w:drawing>
          <wp:inline distT="0" distB="0" distL="0" distR="0">
            <wp:extent cx="2700020" cy="2232025"/>
            <wp:effectExtent l="0" t="0" r="9525" b="2540"/>
            <wp:docPr id="232" name="image1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image137.jpeg"/>
                    <pic:cNvPicPr>
                      <a:picLocks noChangeAspect="1"/>
                    </pic:cNvPicPr>
                  </pic:nvPicPr>
                  <pic:blipFill>
                    <a:blip r:embed="rId43" cstate="print"/>
                    <a:stretch>
                      <a:fillRect/>
                    </a:stretch>
                  </pic:blipFill>
                  <pic:spPr>
                    <a:xfrm>
                      <a:off x="0" y="0"/>
                      <a:ext cx="2700020" cy="2232025"/>
                    </a:xfrm>
                    <a:prstGeom prst="rect">
                      <a:avLst/>
                    </a:prstGeom>
                  </pic:spPr>
                </pic:pic>
              </a:graphicData>
            </a:graphic>
          </wp:inline>
        </w:drawing>
      </w:r>
    </w:p>
    <w:p w14:paraId="7D149B0C">
      <w:pPr>
        <w:keepNext w:val="0"/>
        <w:keepLines w:val="0"/>
        <w:pageBreakBefore w:val="0"/>
        <w:widowControl w:val="0"/>
        <w:kinsoku/>
        <w:wordWrap/>
        <w:overflowPunct/>
        <w:topLinePunct w:val="0"/>
        <w:autoSpaceDE/>
        <w:autoSpaceDN/>
        <w:bidi w:val="0"/>
        <w:spacing w:line="240" w:lineRule="auto"/>
        <w:jc w:val="both"/>
        <w:textAlignment w:val="auto"/>
        <w:rPr>
          <w:color w:val="auto"/>
        </w:rPr>
      </w:pPr>
      <w:r>
        <w:rPr>
          <w:color w:val="auto"/>
        </w:rPr>
        <w:drawing>
          <wp:inline distT="0" distB="0" distL="0" distR="0">
            <wp:extent cx="5400040" cy="1079500"/>
            <wp:effectExtent l="0" t="0" r="8255" b="0"/>
            <wp:docPr id="335" name="image1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 name="image138.jpeg"/>
                    <pic:cNvPicPr>
                      <a:picLocks noChangeAspect="1"/>
                    </pic:cNvPicPr>
                  </pic:nvPicPr>
                  <pic:blipFill>
                    <a:blip r:embed="rId44" cstate="print"/>
                    <a:stretch>
                      <a:fillRect/>
                    </a:stretch>
                  </pic:blipFill>
                  <pic:spPr>
                    <a:xfrm>
                      <a:off x="0" y="0"/>
                      <a:ext cx="5400040" cy="1079500"/>
                    </a:xfrm>
                    <a:prstGeom prst="rect">
                      <a:avLst/>
                    </a:prstGeom>
                  </pic:spPr>
                </pic:pic>
              </a:graphicData>
            </a:graphic>
          </wp:inline>
        </w:drawing>
      </w:r>
    </w:p>
    <w:p w14:paraId="7943B46D">
      <w:pPr>
        <w:keepNext w:val="0"/>
        <w:keepLines w:val="0"/>
        <w:pageBreakBefore w:val="0"/>
        <w:widowControl w:val="0"/>
        <w:kinsoku/>
        <w:wordWrap/>
        <w:overflowPunct/>
        <w:topLinePunct w:val="0"/>
        <w:autoSpaceDE/>
        <w:autoSpaceDN/>
        <w:bidi w:val="0"/>
        <w:spacing w:line="240" w:lineRule="auto"/>
        <w:jc w:val="both"/>
        <w:textAlignment w:val="auto"/>
        <w:rPr>
          <w:rFonts w:hint="default" w:hAnsi="宋体" w:cs="宋体"/>
          <w:color w:val="auto"/>
          <w:kern w:val="2"/>
          <w:sz w:val="24"/>
          <w:szCs w:val="24"/>
          <w:lang w:val="en-US" w:eastAsia="zh-CN" w:bidi="ar"/>
        </w:rPr>
      </w:pPr>
      <w:r>
        <w:rPr>
          <w:rFonts w:hint="eastAsia" w:hAnsi="宋体" w:cs="宋体"/>
          <w:color w:val="auto"/>
          <w:kern w:val="2"/>
          <w:sz w:val="24"/>
          <w:szCs w:val="24"/>
          <w:lang w:val="en-US" w:eastAsia="zh-CN" w:bidi="ar"/>
        </w:rPr>
        <w:t>11.2承台、底板钢筋绑扎:承台钢筋位置应正确、横平竖直且应符合规范要求，墙插筋与底板钢筋绑扎并与附加定位筋点焊。基础插筋斜撑固定（斜撑钢筋不得贯穿底板）</w:t>
      </w:r>
    </w:p>
    <w:p w14:paraId="7098401C">
      <w:pPr>
        <w:keepNext w:val="0"/>
        <w:keepLines w:val="0"/>
        <w:pageBreakBefore w:val="0"/>
        <w:widowControl w:val="0"/>
        <w:kinsoku/>
        <w:wordWrap/>
        <w:overflowPunct/>
        <w:topLinePunct w:val="0"/>
        <w:autoSpaceDE/>
        <w:autoSpaceDN/>
        <w:bidi w:val="0"/>
        <w:spacing w:line="240" w:lineRule="auto"/>
        <w:jc w:val="both"/>
        <w:textAlignment w:val="auto"/>
        <w:rPr>
          <w:color w:val="auto"/>
        </w:rPr>
      </w:pPr>
      <w:r>
        <w:rPr>
          <w:color w:val="auto"/>
        </w:rPr>
        <w:drawing>
          <wp:anchor distT="0" distB="0" distL="0" distR="0" simplePos="0" relativeHeight="251660288" behindDoc="0" locked="0" layoutInCell="1" allowOverlap="1">
            <wp:simplePos x="0" y="0"/>
            <wp:positionH relativeFrom="column">
              <wp:posOffset>2972435</wp:posOffset>
            </wp:positionH>
            <wp:positionV relativeFrom="paragraph">
              <wp:posOffset>59055</wp:posOffset>
            </wp:positionV>
            <wp:extent cx="2700020" cy="2065655"/>
            <wp:effectExtent l="0" t="0" r="9525" b="6985"/>
            <wp:wrapNone/>
            <wp:docPr id="349" name="image143.jpeg" descr="图片1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 name="image143.jpeg" descr="图片1 (3).jpg"/>
                    <pic:cNvPicPr>
                      <a:picLocks noChangeAspect="1"/>
                    </pic:cNvPicPr>
                  </pic:nvPicPr>
                  <pic:blipFill>
                    <a:blip r:embed="rId45" cstate="print"/>
                    <a:stretch>
                      <a:fillRect/>
                    </a:stretch>
                  </pic:blipFill>
                  <pic:spPr>
                    <a:xfrm>
                      <a:off x="0" y="0"/>
                      <a:ext cx="2700020" cy="2065655"/>
                    </a:xfrm>
                    <a:prstGeom prst="rect">
                      <a:avLst/>
                    </a:prstGeom>
                  </pic:spPr>
                </pic:pic>
              </a:graphicData>
            </a:graphic>
          </wp:anchor>
        </w:drawing>
      </w:r>
      <w:r>
        <w:rPr>
          <w:color w:val="auto"/>
        </w:rPr>
        <w:drawing>
          <wp:inline distT="0" distB="0" distL="0" distR="0">
            <wp:extent cx="2700020" cy="2087880"/>
            <wp:effectExtent l="0" t="0" r="9525" b="6350"/>
            <wp:docPr id="353" name="image145.jpeg" descr="E:\一局\华为荔枝园项目资料\照片\过程照片\照片资料\验收\施工\2013.11.19 19#楼底板钢筋样板\底板钢筋样板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3" name="image145.jpeg" descr="E:\一局\华为荔枝园项目资料\照片\过程照片\照片资料\验收\施工\2013.11.19 19#楼底板钢筋样板\底板钢筋样板 (6).JPG"/>
                    <pic:cNvPicPr>
                      <a:picLocks noChangeAspect="1"/>
                    </pic:cNvPicPr>
                  </pic:nvPicPr>
                  <pic:blipFill>
                    <a:blip r:embed="rId46" cstate="print"/>
                    <a:stretch>
                      <a:fillRect/>
                    </a:stretch>
                  </pic:blipFill>
                  <pic:spPr>
                    <a:xfrm>
                      <a:off x="0" y="0"/>
                      <a:ext cx="2700020" cy="2087880"/>
                    </a:xfrm>
                    <a:prstGeom prst="rect">
                      <a:avLst/>
                    </a:prstGeom>
                  </pic:spPr>
                </pic:pic>
              </a:graphicData>
            </a:graphic>
          </wp:inline>
        </w:drawing>
      </w:r>
      <w:r>
        <w:rPr>
          <w:color w:val="auto"/>
        </w:rPr>
        <w:drawing>
          <wp:anchor distT="0" distB="0" distL="0" distR="0" simplePos="0" relativeHeight="251661312" behindDoc="0" locked="0" layoutInCell="1" allowOverlap="1">
            <wp:simplePos x="0" y="0"/>
            <wp:positionH relativeFrom="column">
              <wp:posOffset>3069590</wp:posOffset>
            </wp:positionH>
            <wp:positionV relativeFrom="paragraph">
              <wp:posOffset>230505</wp:posOffset>
            </wp:positionV>
            <wp:extent cx="2700020" cy="1800225"/>
            <wp:effectExtent l="0" t="0" r="9525" b="2540"/>
            <wp:wrapNone/>
            <wp:docPr id="357" name="image147.jpeg" descr="DSCN03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7" name="image147.jpeg" descr="DSCN0379.JPG"/>
                    <pic:cNvPicPr>
                      <a:picLocks noChangeAspect="1"/>
                    </pic:cNvPicPr>
                  </pic:nvPicPr>
                  <pic:blipFill>
                    <a:blip r:embed="rId47" cstate="print"/>
                    <a:stretch>
                      <a:fillRect/>
                    </a:stretch>
                  </pic:blipFill>
                  <pic:spPr>
                    <a:xfrm>
                      <a:off x="0" y="0"/>
                      <a:ext cx="2700020" cy="1800225"/>
                    </a:xfrm>
                    <a:prstGeom prst="rect">
                      <a:avLst/>
                    </a:prstGeom>
                  </pic:spPr>
                </pic:pic>
              </a:graphicData>
            </a:graphic>
          </wp:anchor>
        </w:drawing>
      </w:r>
      <w:r>
        <w:rPr>
          <w:color w:val="auto"/>
        </w:rPr>
        <w:drawing>
          <wp:inline distT="0" distB="0" distL="0" distR="0">
            <wp:extent cx="2700020" cy="1800225"/>
            <wp:effectExtent l="0" t="0" r="9525" b="2540"/>
            <wp:docPr id="359" name="image148.jpeg" descr="DSCF13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9" name="image148.jpeg" descr="DSCF1317.JPG"/>
                    <pic:cNvPicPr>
                      <a:picLocks noChangeAspect="1"/>
                    </pic:cNvPicPr>
                  </pic:nvPicPr>
                  <pic:blipFill>
                    <a:blip r:embed="rId48" cstate="print"/>
                    <a:stretch>
                      <a:fillRect/>
                    </a:stretch>
                  </pic:blipFill>
                  <pic:spPr>
                    <a:xfrm>
                      <a:off x="0" y="0"/>
                      <a:ext cx="2700020" cy="1800225"/>
                    </a:xfrm>
                    <a:prstGeom prst="rect">
                      <a:avLst/>
                    </a:prstGeom>
                  </pic:spPr>
                </pic:pic>
              </a:graphicData>
            </a:graphic>
          </wp:inline>
        </w:drawing>
      </w:r>
    </w:p>
    <w:p w14:paraId="0D7407C5">
      <w:pPr>
        <w:keepNext w:val="0"/>
        <w:keepLines w:val="0"/>
        <w:pageBreakBefore w:val="0"/>
        <w:widowControl w:val="0"/>
        <w:kinsoku/>
        <w:wordWrap/>
        <w:overflowPunct/>
        <w:topLinePunct w:val="0"/>
        <w:autoSpaceDE/>
        <w:autoSpaceDN/>
        <w:bidi w:val="0"/>
        <w:spacing w:line="240" w:lineRule="auto"/>
        <w:jc w:val="both"/>
        <w:textAlignment w:val="auto"/>
        <w:rPr>
          <w:color w:val="auto"/>
        </w:rPr>
      </w:pPr>
      <w:r>
        <w:rPr>
          <w:rFonts w:hint="eastAsia"/>
          <w:color w:val="auto"/>
          <w:lang w:val="en-US" w:eastAsia="zh-CN"/>
        </w:rPr>
        <w:t xml:space="preserve"> </w:t>
      </w:r>
    </w:p>
    <w:p w14:paraId="5F2EE02E">
      <w:pPr>
        <w:keepNext w:val="0"/>
        <w:keepLines w:val="0"/>
        <w:pageBreakBefore w:val="0"/>
        <w:widowControl w:val="0"/>
        <w:kinsoku/>
        <w:wordWrap/>
        <w:overflowPunct/>
        <w:topLinePunct w:val="0"/>
        <w:autoSpaceDE/>
        <w:autoSpaceDN/>
        <w:bidi w:val="0"/>
        <w:spacing w:line="240" w:lineRule="auto"/>
        <w:jc w:val="both"/>
        <w:textAlignment w:val="auto"/>
        <w:rPr>
          <w:color w:val="auto"/>
        </w:rPr>
      </w:pPr>
      <w:r>
        <w:rPr>
          <w:rFonts w:hint="eastAsia"/>
          <w:color w:val="auto"/>
          <w:lang w:val="en-US" w:eastAsia="zh-CN"/>
        </w:rPr>
        <w:t xml:space="preserve"> </w:t>
      </w:r>
    </w:p>
    <w:p w14:paraId="6C5FA3B2">
      <w:pPr>
        <w:keepNext w:val="0"/>
        <w:keepLines w:val="0"/>
        <w:pageBreakBefore w:val="0"/>
        <w:widowControl w:val="0"/>
        <w:kinsoku/>
        <w:wordWrap/>
        <w:overflowPunct/>
        <w:topLinePunct w:val="0"/>
        <w:autoSpaceDE/>
        <w:autoSpaceDN/>
        <w:bidi w:val="0"/>
        <w:spacing w:line="240" w:lineRule="auto"/>
        <w:jc w:val="both"/>
        <w:textAlignment w:val="auto"/>
        <w:rPr>
          <w:color w:val="auto"/>
        </w:rPr>
      </w:pPr>
      <w:r>
        <w:rPr>
          <w:rFonts w:hint="eastAsia" w:hAnsi="宋体" w:cs="宋体"/>
          <w:color w:val="auto"/>
          <w:kern w:val="2"/>
          <w:sz w:val="24"/>
          <w:szCs w:val="24"/>
          <w:lang w:val="en-US" w:eastAsia="zh-CN" w:bidi="ar"/>
        </w:rPr>
        <w:t>11.3定位箍筋：在楼面结构钢筋面及以上 500mm 高处各增加定位箍筋，固定住主筋避免偏位。</w:t>
      </w:r>
    </w:p>
    <w:p w14:paraId="1D179960">
      <w:pPr>
        <w:keepNext w:val="0"/>
        <w:keepLines w:val="0"/>
        <w:pageBreakBefore w:val="0"/>
        <w:widowControl w:val="0"/>
        <w:kinsoku/>
        <w:wordWrap/>
        <w:overflowPunct/>
        <w:topLinePunct w:val="0"/>
        <w:autoSpaceDE/>
        <w:autoSpaceDN/>
        <w:bidi w:val="0"/>
        <w:spacing w:line="240" w:lineRule="auto"/>
        <w:jc w:val="both"/>
        <w:textAlignment w:val="auto"/>
        <w:rPr>
          <w:color w:val="auto"/>
        </w:rPr>
      </w:pPr>
      <w:r>
        <w:rPr>
          <w:color w:val="auto"/>
        </w:rPr>
        <w:drawing>
          <wp:anchor distT="0" distB="0" distL="0" distR="0" simplePos="0" relativeHeight="251662336" behindDoc="0" locked="0" layoutInCell="1" allowOverlap="1">
            <wp:simplePos x="0" y="0"/>
            <wp:positionH relativeFrom="column">
              <wp:posOffset>2862580</wp:posOffset>
            </wp:positionH>
            <wp:positionV relativeFrom="paragraph">
              <wp:posOffset>635</wp:posOffset>
            </wp:positionV>
            <wp:extent cx="2700020" cy="2146300"/>
            <wp:effectExtent l="0" t="0" r="9525" b="1905"/>
            <wp:wrapNone/>
            <wp:docPr id="373" name="image1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 name="image154.jpeg"/>
                    <pic:cNvPicPr>
                      <a:picLocks noChangeAspect="1"/>
                    </pic:cNvPicPr>
                  </pic:nvPicPr>
                  <pic:blipFill>
                    <a:blip r:embed="rId49" cstate="print"/>
                    <a:stretch>
                      <a:fillRect/>
                    </a:stretch>
                  </pic:blipFill>
                  <pic:spPr>
                    <a:xfrm>
                      <a:off x="0" y="0"/>
                      <a:ext cx="2700020" cy="2146300"/>
                    </a:xfrm>
                    <a:prstGeom prst="rect">
                      <a:avLst/>
                    </a:prstGeom>
                  </pic:spPr>
                </pic:pic>
              </a:graphicData>
            </a:graphic>
          </wp:anchor>
        </w:drawing>
      </w:r>
      <w:r>
        <w:rPr>
          <w:color w:val="auto"/>
        </w:rPr>
        <w:drawing>
          <wp:inline distT="0" distB="0" distL="0" distR="0">
            <wp:extent cx="2700020" cy="2146300"/>
            <wp:effectExtent l="0" t="0" r="9525" b="1905"/>
            <wp:docPr id="371" name="image15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 name="image153.jpeg"/>
                    <pic:cNvPicPr>
                      <a:picLocks noChangeAspect="1"/>
                    </pic:cNvPicPr>
                  </pic:nvPicPr>
                  <pic:blipFill>
                    <a:blip r:embed="rId50" cstate="print"/>
                    <a:stretch>
                      <a:fillRect/>
                    </a:stretch>
                  </pic:blipFill>
                  <pic:spPr>
                    <a:xfrm>
                      <a:off x="0" y="0"/>
                      <a:ext cx="2700020" cy="2146300"/>
                    </a:xfrm>
                    <a:prstGeom prst="rect">
                      <a:avLst/>
                    </a:prstGeom>
                  </pic:spPr>
                </pic:pic>
              </a:graphicData>
            </a:graphic>
          </wp:inline>
        </w:drawing>
      </w:r>
      <w:r>
        <w:rPr>
          <w:rFonts w:hint="eastAsia"/>
          <w:color w:val="auto"/>
          <w:lang w:val="en-US" w:eastAsia="zh-CN"/>
        </w:rPr>
        <w:t xml:space="preserve"> </w:t>
      </w:r>
    </w:p>
    <w:p w14:paraId="0FE53256">
      <w:pPr>
        <w:keepNext w:val="0"/>
        <w:keepLines w:val="0"/>
        <w:pageBreakBefore w:val="0"/>
        <w:widowControl w:val="0"/>
        <w:kinsoku/>
        <w:wordWrap/>
        <w:overflowPunct/>
        <w:topLinePunct w:val="0"/>
        <w:autoSpaceDE/>
        <w:autoSpaceDN/>
        <w:bidi w:val="0"/>
        <w:spacing w:line="240" w:lineRule="auto"/>
        <w:jc w:val="both"/>
        <w:textAlignment w:val="auto"/>
        <w:rPr>
          <w:color w:val="auto"/>
        </w:rPr>
      </w:pPr>
      <w:r>
        <w:rPr>
          <w:rFonts w:hint="eastAsia" w:hAnsi="宋体" w:cs="宋体"/>
          <w:color w:val="auto"/>
          <w:kern w:val="2"/>
          <w:sz w:val="24"/>
          <w:szCs w:val="24"/>
          <w:lang w:val="en-US" w:eastAsia="zh-CN" w:bidi="ar"/>
        </w:rPr>
        <w:t>11.4墙钢筋绑扎：1、要求画线绑扎，水平和竖向钢筋错开连接，水平（箍筋）钢筋间距满足设计要求，水平筋或箍筋与每根主筋相交位置绑扎到位，严禁跳绑。2、墙钢筋应逐点绑扎，双排钢筋之间绑拉筋，梅花形布置，并放置定位梯子筋，按定位梯子筋的位置进行布筋，以保证所有墙主筋全部到位，保护层正确.3、水平筋在竖向钢筋的内外侧依据设计，如无明确要求，一般水平钢筋在外侧。4、墙筋拉钩应放置于竖向钢筋和水平钢筋的交叉点，一端为135°。</w:t>
      </w:r>
    </w:p>
    <w:p w14:paraId="2ED5558F">
      <w:pPr>
        <w:keepNext w:val="0"/>
        <w:keepLines w:val="0"/>
        <w:pageBreakBefore w:val="0"/>
        <w:widowControl w:val="0"/>
        <w:kinsoku/>
        <w:wordWrap/>
        <w:overflowPunct/>
        <w:topLinePunct w:val="0"/>
        <w:autoSpaceDE/>
        <w:autoSpaceDN/>
        <w:bidi w:val="0"/>
        <w:spacing w:line="240" w:lineRule="auto"/>
        <w:jc w:val="both"/>
        <w:textAlignment w:val="auto"/>
        <w:rPr>
          <w:color w:val="auto"/>
        </w:rPr>
      </w:pPr>
      <w:r>
        <w:rPr>
          <w:color w:val="auto"/>
        </w:rPr>
        <w:drawing>
          <wp:anchor distT="0" distB="0" distL="0" distR="0" simplePos="0" relativeHeight="251663360" behindDoc="0" locked="0" layoutInCell="1" allowOverlap="1">
            <wp:simplePos x="0" y="0"/>
            <wp:positionH relativeFrom="column">
              <wp:posOffset>3162300</wp:posOffset>
            </wp:positionH>
            <wp:positionV relativeFrom="paragraph">
              <wp:posOffset>120650</wp:posOffset>
            </wp:positionV>
            <wp:extent cx="2700020" cy="2042795"/>
            <wp:effectExtent l="0" t="0" r="9525" b="8255"/>
            <wp:wrapNone/>
            <wp:docPr id="381" name="image1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 name="image157.png"/>
                    <pic:cNvPicPr>
                      <a:picLocks noChangeAspect="1"/>
                    </pic:cNvPicPr>
                  </pic:nvPicPr>
                  <pic:blipFill>
                    <a:blip r:embed="rId51" cstate="print"/>
                    <a:stretch>
                      <a:fillRect/>
                    </a:stretch>
                  </pic:blipFill>
                  <pic:spPr>
                    <a:xfrm>
                      <a:off x="0" y="0"/>
                      <a:ext cx="2700020" cy="2042795"/>
                    </a:xfrm>
                    <a:prstGeom prst="rect">
                      <a:avLst/>
                    </a:prstGeom>
                  </pic:spPr>
                </pic:pic>
              </a:graphicData>
            </a:graphic>
          </wp:anchor>
        </w:drawing>
      </w:r>
      <w:r>
        <w:rPr>
          <w:rFonts w:hint="eastAsia"/>
          <w:color w:val="auto"/>
          <w:lang w:val="en-US" w:eastAsia="zh-CN"/>
        </w:rPr>
        <w:t xml:space="preserve"> </w:t>
      </w:r>
      <w:r>
        <w:rPr>
          <w:color w:val="auto"/>
        </w:rPr>
        <w:drawing>
          <wp:inline distT="0" distB="0" distL="0" distR="0">
            <wp:extent cx="2700020" cy="2042795"/>
            <wp:effectExtent l="0" t="0" r="9525" b="8255"/>
            <wp:docPr id="379" name="image1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 name="image156.jpeg"/>
                    <pic:cNvPicPr>
                      <a:picLocks noChangeAspect="1"/>
                    </pic:cNvPicPr>
                  </pic:nvPicPr>
                  <pic:blipFill>
                    <a:blip r:embed="rId52" cstate="print"/>
                    <a:stretch>
                      <a:fillRect/>
                    </a:stretch>
                  </pic:blipFill>
                  <pic:spPr>
                    <a:xfrm>
                      <a:off x="0" y="0"/>
                      <a:ext cx="2700020" cy="2042795"/>
                    </a:xfrm>
                    <a:prstGeom prst="rect">
                      <a:avLst/>
                    </a:prstGeom>
                  </pic:spPr>
                </pic:pic>
              </a:graphicData>
            </a:graphic>
          </wp:inline>
        </w:drawing>
      </w:r>
    </w:p>
    <w:p w14:paraId="47AABDAD">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4"/>
          <w:szCs w:val="24"/>
          <w:lang w:val="en-US" w:eastAsia="zh-CN" w:bidi="ar"/>
        </w:rPr>
      </w:pPr>
      <w:r>
        <w:rPr>
          <w:rFonts w:hint="eastAsia" w:hAnsi="宋体" w:cs="宋体"/>
          <w:color w:val="auto"/>
          <w:kern w:val="2"/>
          <w:sz w:val="24"/>
          <w:szCs w:val="24"/>
          <w:lang w:val="en-US" w:eastAsia="zh-CN" w:bidi="ar"/>
        </w:rPr>
        <w:t>11.5墙、柱钢筋保护层垫块：墙、柱采用成品塑料垫块。设置要求：墙柱纵横间距≤600mm，柱沿柱角布置，每≤600mm 设置一个。模板控制：剪力墙内模板控制采用预制成品混凝土撑条。</w:t>
      </w:r>
    </w:p>
    <w:p w14:paraId="18B8097B">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eastAsia="宋体" w:cs="宋体"/>
          <w:color w:val="auto"/>
          <w:kern w:val="2"/>
          <w:sz w:val="24"/>
          <w:szCs w:val="24"/>
          <w:lang w:val="en-US" w:eastAsia="zh-CN" w:bidi="ar"/>
        </w:rPr>
      </w:pPr>
      <w:r>
        <w:rPr>
          <w:color w:val="auto"/>
        </w:rPr>
        <w:drawing>
          <wp:anchor distT="0" distB="0" distL="0" distR="0" simplePos="0" relativeHeight="251664384" behindDoc="0" locked="0" layoutInCell="1" allowOverlap="1">
            <wp:simplePos x="0" y="0"/>
            <wp:positionH relativeFrom="column">
              <wp:posOffset>2889885</wp:posOffset>
            </wp:positionH>
            <wp:positionV relativeFrom="paragraph">
              <wp:posOffset>107950</wp:posOffset>
            </wp:positionV>
            <wp:extent cx="2700020" cy="1974215"/>
            <wp:effectExtent l="0" t="0" r="9525" b="1270"/>
            <wp:wrapNone/>
            <wp:docPr id="387" name="image1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 name="image160.jpeg"/>
                    <pic:cNvPicPr>
                      <a:picLocks noChangeAspect="1"/>
                    </pic:cNvPicPr>
                  </pic:nvPicPr>
                  <pic:blipFill>
                    <a:blip r:embed="rId53" cstate="print"/>
                    <a:stretch>
                      <a:fillRect/>
                    </a:stretch>
                  </pic:blipFill>
                  <pic:spPr>
                    <a:xfrm>
                      <a:off x="0" y="0"/>
                      <a:ext cx="2700020" cy="1974215"/>
                    </a:xfrm>
                    <a:prstGeom prst="rect">
                      <a:avLst/>
                    </a:prstGeom>
                  </pic:spPr>
                </pic:pic>
              </a:graphicData>
            </a:graphic>
          </wp:anchor>
        </w:drawing>
      </w:r>
      <w:r>
        <w:rPr>
          <w:color w:val="auto"/>
        </w:rPr>
        <w:drawing>
          <wp:inline distT="0" distB="0" distL="0" distR="0">
            <wp:extent cx="2700020" cy="2007870"/>
            <wp:effectExtent l="0" t="0" r="9525" b="0"/>
            <wp:docPr id="385" name="image159.jpeg" descr="u=1956774028,2556589654&amp;fm=23&amp;gp=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 name="image159.jpeg" descr="u=1956774028,2556589654&amp;fm=23&amp;gp=0[1].jpg"/>
                    <pic:cNvPicPr>
                      <a:picLocks noChangeAspect="1"/>
                    </pic:cNvPicPr>
                  </pic:nvPicPr>
                  <pic:blipFill>
                    <a:blip r:embed="rId54" cstate="print"/>
                    <a:stretch>
                      <a:fillRect/>
                    </a:stretch>
                  </pic:blipFill>
                  <pic:spPr>
                    <a:xfrm>
                      <a:off x="0" y="0"/>
                      <a:ext cx="2700020" cy="2007870"/>
                    </a:xfrm>
                    <a:prstGeom prst="rect">
                      <a:avLst/>
                    </a:prstGeom>
                  </pic:spPr>
                </pic:pic>
              </a:graphicData>
            </a:graphic>
          </wp:inline>
        </w:drawing>
      </w:r>
      <w:r>
        <w:rPr>
          <w:rFonts w:hint="eastAsia"/>
          <w:color w:val="auto"/>
          <w:lang w:val="en-US" w:eastAsia="zh-CN"/>
        </w:rPr>
        <w:t xml:space="preserve"> </w:t>
      </w:r>
    </w:p>
    <w:p w14:paraId="09FFBF0A">
      <w:pPr>
        <w:keepNext w:val="0"/>
        <w:keepLines w:val="0"/>
        <w:pageBreakBefore w:val="0"/>
        <w:widowControl w:val="0"/>
        <w:kinsoku/>
        <w:wordWrap/>
        <w:overflowPunct/>
        <w:topLinePunct w:val="0"/>
        <w:autoSpaceDE/>
        <w:autoSpaceDN/>
        <w:bidi w:val="0"/>
        <w:spacing w:line="240" w:lineRule="auto"/>
        <w:jc w:val="both"/>
        <w:textAlignment w:val="auto"/>
        <w:rPr>
          <w:rFonts w:hint="default" w:hAnsi="宋体" w:cs="宋体"/>
          <w:color w:val="auto"/>
          <w:kern w:val="2"/>
          <w:sz w:val="24"/>
          <w:szCs w:val="24"/>
          <w:lang w:val="en-US" w:eastAsia="zh-CN" w:bidi="ar"/>
        </w:rPr>
      </w:pPr>
      <w:r>
        <w:rPr>
          <w:rFonts w:hint="eastAsia" w:hAnsi="宋体" w:cs="宋体"/>
          <w:color w:val="auto"/>
          <w:kern w:val="2"/>
          <w:sz w:val="24"/>
          <w:szCs w:val="24"/>
          <w:lang w:val="en-US" w:eastAsia="zh-CN" w:bidi="ar"/>
        </w:rPr>
        <w:t>11.6 柱核心区箍筋：加工焊接成如图所示钢筋笼，梁钢筋绑扎完成时一同下沉到预定位置</w:t>
      </w:r>
    </w:p>
    <w:p w14:paraId="35D4A2D6">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4"/>
          <w:szCs w:val="24"/>
          <w:lang w:val="en-US" w:eastAsia="zh-CN" w:bidi="ar"/>
        </w:rPr>
      </w:pPr>
      <w:r>
        <w:rPr>
          <w:color w:val="auto"/>
        </w:rPr>
        <w:drawing>
          <wp:anchor distT="0" distB="0" distL="0" distR="0" simplePos="0" relativeHeight="251665408" behindDoc="0" locked="0" layoutInCell="1" allowOverlap="1">
            <wp:simplePos x="0" y="0"/>
            <wp:positionH relativeFrom="column">
              <wp:posOffset>2770505</wp:posOffset>
            </wp:positionH>
            <wp:positionV relativeFrom="paragraph">
              <wp:posOffset>113030</wp:posOffset>
            </wp:positionV>
            <wp:extent cx="2700020" cy="2167255"/>
            <wp:effectExtent l="0" t="0" r="9525" b="2540"/>
            <wp:wrapNone/>
            <wp:docPr id="407" name="image168.jpeg" descr="11175095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7" name="image168.jpeg" descr="1117509581.jpg"/>
                    <pic:cNvPicPr>
                      <a:picLocks noChangeAspect="1"/>
                    </pic:cNvPicPr>
                  </pic:nvPicPr>
                  <pic:blipFill>
                    <a:blip r:embed="rId55" cstate="print"/>
                    <a:stretch>
                      <a:fillRect/>
                    </a:stretch>
                  </pic:blipFill>
                  <pic:spPr>
                    <a:xfrm>
                      <a:off x="0" y="0"/>
                      <a:ext cx="2700020" cy="2167255"/>
                    </a:xfrm>
                    <a:prstGeom prst="rect">
                      <a:avLst/>
                    </a:prstGeom>
                  </pic:spPr>
                </pic:pic>
              </a:graphicData>
            </a:graphic>
          </wp:anchor>
        </w:drawing>
      </w:r>
      <w:r>
        <w:rPr>
          <w:color w:val="auto"/>
        </w:rPr>
        <w:drawing>
          <wp:inline distT="0" distB="0" distL="0" distR="0">
            <wp:extent cx="2700020" cy="2214880"/>
            <wp:effectExtent l="0" t="0" r="9525" b="8890"/>
            <wp:docPr id="411" name="image170.jpeg" descr="201108033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 name="image170.jpeg" descr="20110803376.jpg"/>
                    <pic:cNvPicPr>
                      <a:picLocks noChangeAspect="1"/>
                    </pic:cNvPicPr>
                  </pic:nvPicPr>
                  <pic:blipFill>
                    <a:blip r:embed="rId56" cstate="print"/>
                    <a:stretch>
                      <a:fillRect/>
                    </a:stretch>
                  </pic:blipFill>
                  <pic:spPr>
                    <a:xfrm>
                      <a:off x="0" y="0"/>
                      <a:ext cx="2700020" cy="2214880"/>
                    </a:xfrm>
                    <a:prstGeom prst="rect">
                      <a:avLst/>
                    </a:prstGeom>
                  </pic:spPr>
                </pic:pic>
              </a:graphicData>
            </a:graphic>
          </wp:inline>
        </w:drawing>
      </w:r>
    </w:p>
    <w:p w14:paraId="3BD621C1">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kern w:val="2"/>
          <w:sz w:val="24"/>
          <w:szCs w:val="24"/>
          <w:lang w:val="en-US" w:eastAsia="zh-CN" w:bidi="ar"/>
        </w:rPr>
      </w:pPr>
      <w:r>
        <w:rPr>
          <w:rFonts w:hint="eastAsia" w:hAnsi="宋体" w:cs="宋体"/>
          <w:color w:val="auto"/>
          <w:kern w:val="2"/>
          <w:sz w:val="24"/>
          <w:szCs w:val="24"/>
          <w:lang w:val="en-US" w:eastAsia="zh-CN" w:bidi="ar"/>
        </w:rPr>
        <w:t>11.7梁底及梁侧：梁底采用废旧钢筋支撑，支点放置砼垫块，梁侧边钢筋混凝土保护层采用成品塑料分色高强垫块，梁底部及梁侧边每 1000mm 布置 2 个放置在对应位置。深度较大的梁可采用预制成品混凝土撑条。</w:t>
      </w:r>
    </w:p>
    <w:p w14:paraId="6BE1773E">
      <w:pPr>
        <w:keepNext w:val="0"/>
        <w:keepLines w:val="0"/>
        <w:pageBreakBefore w:val="0"/>
        <w:widowControl w:val="0"/>
        <w:kinsoku/>
        <w:wordWrap/>
        <w:overflowPunct/>
        <w:topLinePunct w:val="0"/>
        <w:autoSpaceDE/>
        <w:autoSpaceDN/>
        <w:bidi w:val="0"/>
        <w:spacing w:line="240" w:lineRule="auto"/>
        <w:jc w:val="both"/>
        <w:textAlignment w:val="auto"/>
        <w:rPr>
          <w:color w:val="auto"/>
        </w:rPr>
      </w:pPr>
      <w:r>
        <w:rPr>
          <w:rFonts w:hint="eastAsia"/>
          <w:color w:val="auto"/>
          <w:lang w:val="en-US" w:eastAsia="zh-CN"/>
        </w:rPr>
        <w:t xml:space="preserve">   </w:t>
      </w:r>
      <w:r>
        <w:rPr>
          <w:color w:val="auto"/>
        </w:rPr>
        <w:drawing>
          <wp:inline distT="0" distB="0" distL="114300" distR="114300">
            <wp:extent cx="2235835" cy="1908175"/>
            <wp:effectExtent l="0" t="0" r="9525" b="2540"/>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57"/>
                    <a:stretch>
                      <a:fillRect/>
                    </a:stretch>
                  </pic:blipFill>
                  <pic:spPr>
                    <a:xfrm>
                      <a:off x="0" y="0"/>
                      <a:ext cx="2235835" cy="1908175"/>
                    </a:xfrm>
                    <a:prstGeom prst="rect">
                      <a:avLst/>
                    </a:prstGeom>
                    <a:noFill/>
                    <a:ln>
                      <a:noFill/>
                    </a:ln>
                  </pic:spPr>
                </pic:pic>
              </a:graphicData>
            </a:graphic>
          </wp:inline>
        </w:drawing>
      </w:r>
      <w:r>
        <w:rPr>
          <w:rFonts w:hint="eastAsia"/>
          <w:color w:val="auto"/>
          <w:lang w:val="en-US" w:eastAsia="zh-CN"/>
        </w:rPr>
        <w:t xml:space="preserve"> </w:t>
      </w:r>
      <w:r>
        <w:rPr>
          <w:color w:val="auto"/>
        </w:rPr>
        <w:drawing>
          <wp:inline distT="0" distB="0" distL="0" distR="0">
            <wp:extent cx="2468245" cy="1899285"/>
            <wp:effectExtent l="0" t="0" r="3810" b="635"/>
            <wp:docPr id="250" name="image178.jpeg" descr="E:\01区域工作\集团战略\总包\11年\AppData\Roaming\Tencent\Users\563671882\QQ\WinTemp\RichOle\SC9_])EC{YCI7GJ4X1C2F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image178.jpeg" descr="E:\01区域工作\集团战略\总包\11年\AppData\Roaming\Tencent\Users\563671882\QQ\WinTemp\RichOle\SC9_])EC{YCI7GJ4X1C2FRO.jpg"/>
                    <pic:cNvPicPr>
                      <a:picLocks noChangeAspect="1"/>
                    </pic:cNvPicPr>
                  </pic:nvPicPr>
                  <pic:blipFill>
                    <a:blip r:embed="rId58" cstate="print"/>
                    <a:stretch>
                      <a:fillRect/>
                    </a:stretch>
                  </pic:blipFill>
                  <pic:spPr>
                    <a:xfrm>
                      <a:off x="0" y="0"/>
                      <a:ext cx="2468245" cy="1899285"/>
                    </a:xfrm>
                    <a:prstGeom prst="rect">
                      <a:avLst/>
                    </a:prstGeom>
                  </pic:spPr>
                </pic:pic>
              </a:graphicData>
            </a:graphic>
          </wp:inline>
        </w:drawing>
      </w:r>
    </w:p>
    <w:p w14:paraId="05520EA4">
      <w:pPr>
        <w:keepNext w:val="0"/>
        <w:keepLines w:val="0"/>
        <w:pageBreakBefore w:val="0"/>
        <w:widowControl w:val="0"/>
        <w:kinsoku/>
        <w:wordWrap/>
        <w:overflowPunct/>
        <w:topLinePunct w:val="0"/>
        <w:autoSpaceDE/>
        <w:autoSpaceDN/>
        <w:bidi w:val="0"/>
        <w:spacing w:line="240" w:lineRule="auto"/>
        <w:jc w:val="both"/>
        <w:textAlignment w:val="auto"/>
        <w:rPr>
          <w:rFonts w:hint="default" w:hAnsi="宋体" w:cs="宋体"/>
          <w:color w:val="auto"/>
          <w:kern w:val="2"/>
          <w:sz w:val="24"/>
          <w:szCs w:val="24"/>
          <w:lang w:val="en-US" w:eastAsia="zh-CN" w:bidi="ar"/>
        </w:rPr>
      </w:pPr>
      <w:r>
        <w:rPr>
          <w:rFonts w:hint="eastAsia" w:hAnsi="宋体" w:cs="宋体"/>
          <w:color w:val="auto"/>
          <w:kern w:val="2"/>
          <w:sz w:val="24"/>
          <w:szCs w:val="24"/>
          <w:lang w:val="en-US" w:eastAsia="zh-CN" w:bidi="ar"/>
        </w:rPr>
        <w:t>11.8板成品马凳筋</w:t>
      </w:r>
    </w:p>
    <w:p w14:paraId="0E83DECA">
      <w:pPr>
        <w:keepNext w:val="0"/>
        <w:keepLines w:val="0"/>
        <w:pageBreakBefore w:val="0"/>
        <w:widowControl w:val="0"/>
        <w:kinsoku/>
        <w:wordWrap/>
        <w:overflowPunct/>
        <w:topLinePunct w:val="0"/>
        <w:autoSpaceDE/>
        <w:autoSpaceDN/>
        <w:bidi w:val="0"/>
        <w:spacing w:line="240" w:lineRule="auto"/>
        <w:jc w:val="both"/>
        <w:textAlignment w:val="auto"/>
        <w:rPr>
          <w:color w:val="auto"/>
        </w:rPr>
      </w:pPr>
      <w:r>
        <w:rPr>
          <w:color w:val="auto"/>
        </w:rPr>
        <w:drawing>
          <wp:inline distT="0" distB="0" distL="114300" distR="114300">
            <wp:extent cx="3902075" cy="1809750"/>
            <wp:effectExtent l="0" t="0" r="5715" b="3810"/>
            <wp:docPr id="1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pic:cNvPicPr>
                      <a:picLocks noChangeAspect="1"/>
                    </pic:cNvPicPr>
                  </pic:nvPicPr>
                  <pic:blipFill>
                    <a:blip r:embed="rId59"/>
                    <a:stretch>
                      <a:fillRect/>
                    </a:stretch>
                  </pic:blipFill>
                  <pic:spPr>
                    <a:xfrm>
                      <a:off x="0" y="0"/>
                      <a:ext cx="3902075" cy="1809750"/>
                    </a:xfrm>
                    <a:prstGeom prst="rect">
                      <a:avLst/>
                    </a:prstGeom>
                    <a:noFill/>
                    <a:ln>
                      <a:noFill/>
                    </a:ln>
                  </pic:spPr>
                </pic:pic>
              </a:graphicData>
            </a:graphic>
          </wp:inline>
        </w:drawing>
      </w:r>
    </w:p>
    <w:p w14:paraId="7FA65EC3">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sz w:val="28"/>
          <w:szCs w:val="28"/>
        </w:rPr>
      </w:pPr>
      <w:r>
        <w:rPr>
          <w:rFonts w:hint="eastAsia" w:hAnsi="宋体" w:cs="宋体"/>
          <w:color w:val="auto"/>
          <w:sz w:val="28"/>
          <w:szCs w:val="28"/>
          <w:lang w:val="en-US" w:eastAsia="zh-CN"/>
        </w:rPr>
        <w:t>12、</w:t>
      </w:r>
      <w:r>
        <w:rPr>
          <w:rFonts w:hint="eastAsia" w:hAnsi="宋体" w:cs="宋体"/>
          <w:color w:val="auto"/>
          <w:sz w:val="28"/>
          <w:szCs w:val="28"/>
        </w:rPr>
        <w:t>在施工期间，因天气、地方施工环境等原因造成的设备、人员的停工，停工损失由投标人自行承担（不可抗力除外）。</w:t>
      </w:r>
    </w:p>
    <w:p w14:paraId="3B902133">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sz w:val="28"/>
          <w:szCs w:val="28"/>
        </w:rPr>
      </w:pPr>
      <w:r>
        <w:rPr>
          <w:rFonts w:hint="eastAsia" w:hAnsi="宋体" w:cs="宋体"/>
          <w:color w:val="auto"/>
          <w:sz w:val="28"/>
          <w:szCs w:val="28"/>
          <w:lang w:val="en-US" w:eastAsia="zh-CN"/>
        </w:rPr>
        <w:t>13、</w:t>
      </w:r>
      <w:r>
        <w:rPr>
          <w:rFonts w:hint="eastAsia" w:hAnsi="宋体" w:cs="宋体"/>
          <w:color w:val="auto"/>
          <w:sz w:val="28"/>
          <w:szCs w:val="28"/>
        </w:rPr>
        <w:t>严禁转包中标工作内容，如发现按违约处理，清退出场，赔偿招标人损失，已完成工作量折扣结算；</w:t>
      </w:r>
    </w:p>
    <w:p w14:paraId="269A55A3">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sz w:val="28"/>
          <w:szCs w:val="28"/>
        </w:rPr>
      </w:pPr>
      <w:r>
        <w:rPr>
          <w:rFonts w:hint="eastAsia" w:hAnsi="宋体" w:cs="宋体"/>
          <w:color w:val="auto"/>
          <w:sz w:val="28"/>
          <w:szCs w:val="28"/>
          <w:lang w:val="en-US" w:eastAsia="zh-CN"/>
        </w:rPr>
        <w:t>14、</w:t>
      </w:r>
      <w:r>
        <w:rPr>
          <w:rFonts w:hint="eastAsia" w:hAnsi="宋体" w:cs="宋体"/>
          <w:color w:val="auto"/>
          <w:sz w:val="28"/>
          <w:szCs w:val="28"/>
        </w:rPr>
        <w:t>招标人将对中标人履约能力进行考评，不能满足施工要求或不配合招标人工作指令的，招标人可单方面解除合同。如给造成招标人损失将该中标人列入公司</w:t>
      </w:r>
      <w:r>
        <w:rPr>
          <w:rFonts w:hint="eastAsia" w:hAnsi="宋体" w:cs="宋体"/>
          <w:color w:val="auto"/>
          <w:sz w:val="28"/>
          <w:szCs w:val="28"/>
          <w:lang w:val="en-US" w:eastAsia="zh-CN"/>
        </w:rPr>
        <w:t>限制交易名单</w:t>
      </w:r>
      <w:r>
        <w:rPr>
          <w:rFonts w:hint="eastAsia" w:hAnsi="宋体" w:cs="宋体"/>
          <w:color w:val="auto"/>
          <w:sz w:val="28"/>
          <w:szCs w:val="28"/>
        </w:rPr>
        <w:t>，限制在我公司的投标资格；如发生农民工投诉或给公司声誉造成不良影响的事件，直接列入公司黑名单，限制在我公司的投标资格。</w:t>
      </w:r>
    </w:p>
    <w:p w14:paraId="31312C32">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sz w:val="28"/>
          <w:szCs w:val="28"/>
        </w:rPr>
      </w:pPr>
      <w:r>
        <w:rPr>
          <w:rFonts w:hint="eastAsia" w:hAnsi="宋体" w:cs="宋体"/>
          <w:color w:val="auto"/>
          <w:sz w:val="28"/>
          <w:szCs w:val="28"/>
          <w:lang w:val="en-US" w:eastAsia="zh-CN"/>
        </w:rPr>
        <w:t>15、</w:t>
      </w:r>
      <w:r>
        <w:rPr>
          <w:rFonts w:hint="eastAsia" w:hAnsi="宋体" w:cs="宋体"/>
          <w:color w:val="auto"/>
          <w:sz w:val="28"/>
          <w:szCs w:val="28"/>
        </w:rPr>
        <w:t>分项工程：必须确保全部分项工程合格，所有钢筋分项隐蔽工程由业主和监理工程师验收，每次监理工程师或业主验收不能通过，应及时整改，无条件修复到合格为止，影响费用从中标人工程进度款中扣除。</w:t>
      </w:r>
    </w:p>
    <w:p w14:paraId="3072AD30">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sz w:val="28"/>
          <w:szCs w:val="28"/>
        </w:rPr>
      </w:pPr>
      <w:r>
        <w:rPr>
          <w:rFonts w:hint="eastAsia" w:hAnsi="宋体" w:cs="宋体"/>
          <w:color w:val="auto"/>
          <w:sz w:val="28"/>
          <w:szCs w:val="28"/>
          <w:lang w:val="en-US" w:eastAsia="zh-CN"/>
        </w:rPr>
        <w:t>16、</w:t>
      </w:r>
      <w:r>
        <w:rPr>
          <w:rFonts w:hint="eastAsia" w:hAnsi="宋体" w:cs="宋体"/>
          <w:color w:val="auto"/>
          <w:sz w:val="28"/>
          <w:szCs w:val="28"/>
        </w:rPr>
        <w:t>结构验收前，因钢筋保护层检测不合格，给招标人造成的损失及费用，将全部由中标人承担。</w:t>
      </w:r>
    </w:p>
    <w:p w14:paraId="64C1A3E1">
      <w:pPr>
        <w:keepNext w:val="0"/>
        <w:keepLines w:val="0"/>
        <w:pageBreakBefore w:val="0"/>
        <w:widowControl w:val="0"/>
        <w:kinsoku/>
        <w:wordWrap/>
        <w:overflowPunct/>
        <w:topLinePunct w:val="0"/>
        <w:autoSpaceDE/>
        <w:autoSpaceDN/>
        <w:bidi w:val="0"/>
        <w:spacing w:line="240" w:lineRule="auto"/>
        <w:ind w:firstLine="560" w:firstLineChars="200"/>
        <w:jc w:val="both"/>
        <w:textAlignment w:val="auto"/>
        <w:rPr>
          <w:rFonts w:hint="eastAsia" w:hAnsi="宋体" w:cs="宋体"/>
          <w:color w:val="auto"/>
          <w:sz w:val="28"/>
          <w:szCs w:val="28"/>
        </w:rPr>
      </w:pPr>
      <w:r>
        <w:rPr>
          <w:rFonts w:hint="eastAsia" w:hAnsi="宋体" w:cs="宋体"/>
          <w:color w:val="auto"/>
          <w:sz w:val="28"/>
          <w:szCs w:val="28"/>
          <w:lang w:val="en-US" w:eastAsia="zh-CN"/>
        </w:rPr>
        <w:t>17.</w:t>
      </w:r>
      <w:r>
        <w:rPr>
          <w:rFonts w:hint="eastAsia" w:hAnsi="宋体" w:cs="宋体"/>
          <w:color w:val="auto"/>
          <w:sz w:val="28"/>
          <w:szCs w:val="28"/>
        </w:rPr>
        <w:t>钢筋焊接（电渣压力焊、气体保护焊、搭接</w:t>
      </w:r>
      <w:r>
        <w:rPr>
          <w:rFonts w:hint="eastAsia" w:hAnsi="宋体" w:cs="宋体"/>
          <w:color w:val="auto"/>
          <w:sz w:val="28"/>
          <w:szCs w:val="28"/>
          <w:lang w:val="en-US" w:eastAsia="zh-CN"/>
        </w:rPr>
        <w:t>单（双）边</w:t>
      </w:r>
      <w:r>
        <w:rPr>
          <w:rFonts w:hint="eastAsia" w:hAnsi="宋体" w:cs="宋体"/>
          <w:color w:val="auto"/>
          <w:sz w:val="28"/>
          <w:szCs w:val="28"/>
        </w:rPr>
        <w:t>焊、直螺纹接头）按规定取样、送检，检测费用由招标人负责，若一次送检不合格，重复送检的所有费用及相关损失（包括相关费用）全部由中标人承担。</w:t>
      </w:r>
    </w:p>
    <w:p w14:paraId="4B8466CB">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color w:val="auto"/>
          <w:sz w:val="28"/>
          <w:szCs w:val="28"/>
          <w:highlight w:val="red"/>
        </w:rPr>
      </w:pPr>
      <w:r>
        <w:rPr>
          <w:rFonts w:hint="eastAsia"/>
          <w:bCs/>
          <w:color w:val="auto"/>
          <w:sz w:val="28"/>
          <w:szCs w:val="28"/>
          <w:highlight w:val="none"/>
          <w:lang w:val="en-US" w:eastAsia="zh-CN"/>
        </w:rPr>
        <w:t>18、</w:t>
      </w:r>
      <w:r>
        <w:rPr>
          <w:rFonts w:hint="eastAsia"/>
          <w:bCs/>
          <w:color w:val="auto"/>
          <w:sz w:val="28"/>
          <w:szCs w:val="28"/>
          <w:highlight w:val="none"/>
        </w:rPr>
        <w:t>计量规则：</w:t>
      </w:r>
      <w:r>
        <w:rPr>
          <w:rFonts w:hint="eastAsia" w:hAnsi="宋体" w:cs="宋体"/>
          <w:bCs/>
          <w:color w:val="auto"/>
          <w:sz w:val="28"/>
          <w:szCs w:val="28"/>
        </w:rPr>
        <w:t>（1）钢筋吨位依据2018版定额《安徽省建筑工程计价定额》进行计算（不含损耗</w:t>
      </w:r>
      <w:r>
        <w:rPr>
          <w:rFonts w:hint="eastAsia" w:hAnsi="宋体" w:cs="宋体"/>
          <w:bCs/>
          <w:color w:val="auto"/>
          <w:sz w:val="28"/>
          <w:szCs w:val="28"/>
          <w:lang w:eastAsia="zh-CN"/>
        </w:rPr>
        <w:t>，</w:t>
      </w:r>
      <w:r>
        <w:rPr>
          <w:rFonts w:hint="eastAsia" w:hAnsi="宋体" w:cs="宋体"/>
          <w:bCs/>
          <w:color w:val="auto"/>
          <w:sz w:val="28"/>
          <w:szCs w:val="28"/>
          <w:lang w:val="en-US" w:eastAsia="zh-CN"/>
        </w:rPr>
        <w:t>钢筋按居中计算</w:t>
      </w:r>
      <w:r>
        <w:rPr>
          <w:rFonts w:hint="eastAsia" w:hAnsi="宋体" w:cs="宋体"/>
          <w:bCs/>
          <w:color w:val="auto"/>
          <w:sz w:val="28"/>
          <w:szCs w:val="28"/>
        </w:rPr>
        <w:t>）</w:t>
      </w:r>
      <w:r>
        <w:rPr>
          <w:rFonts w:hint="eastAsia" w:hAnsi="宋体" w:cs="宋体"/>
          <w:bCs/>
          <w:color w:val="auto"/>
          <w:sz w:val="28"/>
          <w:szCs w:val="28"/>
          <w:lang w:eastAsia="zh-CN"/>
        </w:rPr>
        <w:t>，</w:t>
      </w:r>
      <w:r>
        <w:rPr>
          <w:rFonts w:hint="eastAsia" w:hAnsi="宋体" w:cs="宋体"/>
          <w:bCs/>
          <w:color w:val="auto"/>
          <w:sz w:val="28"/>
          <w:szCs w:val="28"/>
        </w:rPr>
        <w:t xml:space="preserve">结算不超过最终竣工图钢筋理论用量计算（不含损耗）。  </w:t>
      </w:r>
    </w:p>
    <w:p w14:paraId="03D36230">
      <w:pPr>
        <w:keepNext w:val="0"/>
        <w:keepLines w:val="0"/>
        <w:pageBreakBefore w:val="0"/>
        <w:widowControl w:val="0"/>
        <w:kinsoku/>
        <w:wordWrap/>
        <w:overflowPunct/>
        <w:topLinePunct w:val="0"/>
        <w:autoSpaceDE/>
        <w:autoSpaceDN/>
        <w:bidi w:val="0"/>
        <w:adjustRightInd w:val="0"/>
        <w:snapToGrid w:val="0"/>
        <w:spacing w:line="240" w:lineRule="auto"/>
        <w:ind w:firstLine="560" w:firstLineChars="200"/>
        <w:jc w:val="both"/>
        <w:textAlignment w:val="auto"/>
        <w:rPr>
          <w:rFonts w:hint="eastAsia" w:hAnsi="宋体" w:cs="宋体"/>
          <w:color w:val="auto"/>
          <w:sz w:val="28"/>
          <w:szCs w:val="28"/>
          <w:lang w:eastAsia="zh-CN"/>
        </w:rPr>
      </w:pPr>
      <w:r>
        <w:rPr>
          <w:rFonts w:hint="eastAsia" w:hAnsi="宋体" w:cs="宋体"/>
          <w:color w:val="auto"/>
          <w:sz w:val="28"/>
          <w:szCs w:val="28"/>
          <w:lang w:val="en-US" w:eastAsia="zh-CN"/>
        </w:rPr>
        <w:t>19、</w:t>
      </w:r>
      <w:r>
        <w:rPr>
          <w:rFonts w:hint="eastAsia" w:hAnsi="宋体" w:cs="宋体"/>
          <w:color w:val="auto"/>
          <w:sz w:val="28"/>
          <w:szCs w:val="28"/>
        </w:rPr>
        <w:t>钢筋的计算长度按图中的净长度（中心线长度）加上必要的锚固长度、弯钩长度来计算，</w:t>
      </w:r>
      <w:r>
        <w:rPr>
          <w:rFonts w:hint="eastAsia" w:hAnsi="宋体" w:cs="宋体"/>
          <w:color w:val="auto"/>
          <w:sz w:val="28"/>
          <w:szCs w:val="28"/>
          <w:lang w:val="en-US" w:eastAsia="zh-CN"/>
        </w:rPr>
        <w:t>投标</w:t>
      </w:r>
      <w:r>
        <w:rPr>
          <w:rFonts w:hint="eastAsia" w:hAnsi="宋体" w:cs="宋体"/>
          <w:color w:val="auto"/>
          <w:sz w:val="28"/>
          <w:szCs w:val="28"/>
        </w:rPr>
        <w:t>人应将公差重量，所有搭接量(包括图纸中未显示的搭接)、措施筋和成型时的损耗量考虑到项目综合单价内，不另计；绑扎搭接、直螺纹连接、电渣压力焊</w:t>
      </w:r>
      <w:r>
        <w:rPr>
          <w:rFonts w:hint="eastAsia" w:hAnsi="宋体" w:cs="宋体"/>
          <w:color w:val="auto"/>
          <w:sz w:val="28"/>
          <w:szCs w:val="28"/>
          <w:lang w:eastAsia="zh-CN"/>
        </w:rPr>
        <w:t>、</w:t>
      </w:r>
      <w:r>
        <w:rPr>
          <w:rFonts w:hint="eastAsia" w:hAnsi="宋体" w:cs="宋体"/>
          <w:color w:val="auto"/>
          <w:sz w:val="28"/>
          <w:szCs w:val="28"/>
          <w:lang w:val="en-US" w:eastAsia="zh-CN"/>
        </w:rPr>
        <w:t>气体保护焊、单（双）边焊</w:t>
      </w:r>
      <w:r>
        <w:rPr>
          <w:rFonts w:hint="eastAsia" w:hAnsi="宋体" w:cs="宋体"/>
          <w:color w:val="auto"/>
          <w:sz w:val="28"/>
          <w:szCs w:val="28"/>
        </w:rPr>
        <w:t>连接等所有连接均包含在综合单价中，由</w:t>
      </w:r>
      <w:r>
        <w:rPr>
          <w:rFonts w:hint="eastAsia" w:hAnsi="宋体" w:cs="宋体"/>
          <w:color w:val="auto"/>
          <w:sz w:val="28"/>
          <w:szCs w:val="28"/>
          <w:lang w:val="en-US" w:eastAsia="zh-CN"/>
        </w:rPr>
        <w:t>投标人</w:t>
      </w:r>
      <w:r>
        <w:rPr>
          <w:rFonts w:hint="eastAsia" w:hAnsi="宋体" w:cs="宋体"/>
          <w:color w:val="auto"/>
          <w:sz w:val="28"/>
          <w:szCs w:val="28"/>
        </w:rPr>
        <w:t>综合考虑</w:t>
      </w:r>
      <w:r>
        <w:rPr>
          <w:rFonts w:hint="eastAsia" w:hAnsi="宋体" w:cs="宋体"/>
          <w:color w:val="auto"/>
          <w:sz w:val="28"/>
          <w:szCs w:val="28"/>
          <w:lang w:eastAsia="zh-CN"/>
        </w:rPr>
        <w:t>。</w:t>
      </w:r>
    </w:p>
    <w:p w14:paraId="518983FB">
      <w:pPr>
        <w:keepNext w:val="0"/>
        <w:keepLines w:val="0"/>
        <w:pageBreakBefore w:val="0"/>
        <w:widowControl w:val="0"/>
        <w:numPr>
          <w:ilvl w:val="0"/>
          <w:numId w:val="0"/>
        </w:numPr>
        <w:kinsoku/>
        <w:wordWrap/>
        <w:overflowPunct/>
        <w:topLinePunct w:val="0"/>
        <w:autoSpaceDE/>
        <w:autoSpaceDN/>
        <w:bidi w:val="0"/>
        <w:spacing w:line="240" w:lineRule="auto"/>
        <w:jc w:val="both"/>
        <w:textAlignment w:val="auto"/>
        <w:rPr>
          <w:rFonts w:hint="eastAsia" w:ascii="宋体" w:hAnsi="宋体" w:eastAsia="宋体" w:cs="宋体"/>
          <w:b/>
          <w:bCs/>
          <w:color w:val="auto"/>
          <w:kern w:val="2"/>
          <w:sz w:val="28"/>
          <w:szCs w:val="28"/>
          <w:lang w:val="en-US" w:eastAsia="zh-CN" w:bidi="ar"/>
        </w:rPr>
      </w:pPr>
    </w:p>
    <w:p w14:paraId="383DE3CD">
      <w:pPr>
        <w:keepNext w:val="0"/>
        <w:keepLines w:val="0"/>
        <w:pageBreakBefore w:val="0"/>
        <w:widowControl w:val="0"/>
        <w:numPr>
          <w:ilvl w:val="0"/>
          <w:numId w:val="0"/>
        </w:numPr>
        <w:kinsoku/>
        <w:wordWrap/>
        <w:overflowPunct/>
        <w:topLinePunct w:val="0"/>
        <w:autoSpaceDE/>
        <w:autoSpaceDN/>
        <w:bidi w:val="0"/>
        <w:spacing w:line="240" w:lineRule="auto"/>
        <w:jc w:val="both"/>
        <w:textAlignment w:val="auto"/>
        <w:rPr>
          <w:rFonts w:hint="eastAsia" w:ascii="宋体" w:hAnsi="宋体" w:eastAsia="宋体" w:cs="宋体"/>
          <w:b/>
          <w:bCs/>
          <w:color w:val="auto"/>
          <w:kern w:val="2"/>
          <w:sz w:val="28"/>
          <w:szCs w:val="28"/>
          <w:lang w:val="en-US" w:eastAsia="zh-CN" w:bidi="ar"/>
        </w:rPr>
      </w:pPr>
    </w:p>
    <w:p w14:paraId="2670968E">
      <w:pPr>
        <w:keepNext w:val="0"/>
        <w:keepLines w:val="0"/>
        <w:pageBreakBefore w:val="0"/>
        <w:widowControl w:val="0"/>
        <w:numPr>
          <w:ilvl w:val="0"/>
          <w:numId w:val="0"/>
        </w:numPr>
        <w:kinsoku/>
        <w:wordWrap/>
        <w:overflowPunct/>
        <w:topLinePunct w:val="0"/>
        <w:autoSpaceDE/>
        <w:autoSpaceDN/>
        <w:bidi w:val="0"/>
        <w:spacing w:line="240" w:lineRule="auto"/>
        <w:jc w:val="both"/>
        <w:textAlignment w:val="auto"/>
        <w:rPr>
          <w:rFonts w:hint="eastAsia" w:ascii="宋体" w:hAnsi="宋体" w:eastAsia="宋体" w:cs="宋体"/>
          <w:b/>
          <w:bCs/>
          <w:color w:val="auto"/>
          <w:kern w:val="2"/>
          <w:sz w:val="28"/>
          <w:szCs w:val="28"/>
          <w:lang w:val="en-US" w:eastAsia="zh-CN" w:bidi="ar"/>
        </w:rPr>
      </w:pPr>
    </w:p>
    <w:p w14:paraId="204D986C">
      <w:pPr>
        <w:keepNext w:val="0"/>
        <w:keepLines w:val="0"/>
        <w:pageBreakBefore w:val="0"/>
        <w:widowControl w:val="0"/>
        <w:numPr>
          <w:ilvl w:val="0"/>
          <w:numId w:val="0"/>
        </w:numPr>
        <w:kinsoku/>
        <w:wordWrap/>
        <w:overflowPunct/>
        <w:topLinePunct w:val="0"/>
        <w:autoSpaceDE/>
        <w:autoSpaceDN/>
        <w:bidi w:val="0"/>
        <w:spacing w:line="240" w:lineRule="auto"/>
        <w:jc w:val="both"/>
        <w:textAlignment w:val="auto"/>
        <w:rPr>
          <w:rFonts w:hint="eastAsia" w:ascii="宋体" w:hAnsi="宋体" w:eastAsia="宋体" w:cs="宋体"/>
          <w:b/>
          <w:bCs/>
          <w:color w:val="auto"/>
          <w:kern w:val="2"/>
          <w:sz w:val="28"/>
          <w:szCs w:val="28"/>
          <w:lang w:val="en-US" w:eastAsia="zh-CN" w:bidi="ar"/>
        </w:rPr>
      </w:pPr>
    </w:p>
    <w:p w14:paraId="22821A8E">
      <w:pPr>
        <w:keepNext w:val="0"/>
        <w:keepLines w:val="0"/>
        <w:pageBreakBefore w:val="0"/>
        <w:widowControl w:val="0"/>
        <w:numPr>
          <w:ilvl w:val="0"/>
          <w:numId w:val="0"/>
        </w:numPr>
        <w:kinsoku/>
        <w:wordWrap/>
        <w:overflowPunct/>
        <w:topLinePunct w:val="0"/>
        <w:autoSpaceDE/>
        <w:autoSpaceDN/>
        <w:bidi w:val="0"/>
        <w:spacing w:line="240" w:lineRule="auto"/>
        <w:jc w:val="both"/>
        <w:textAlignment w:val="auto"/>
        <w:rPr>
          <w:rFonts w:hint="eastAsia" w:ascii="宋体" w:hAnsi="宋体" w:eastAsia="宋体" w:cs="宋体"/>
          <w:b/>
          <w:bCs/>
          <w:color w:val="auto"/>
          <w:kern w:val="2"/>
          <w:sz w:val="28"/>
          <w:szCs w:val="28"/>
          <w:lang w:val="en-US" w:eastAsia="zh-CN" w:bidi="ar"/>
        </w:rPr>
      </w:pPr>
    </w:p>
    <w:p w14:paraId="5EAA8BBA">
      <w:pPr>
        <w:keepNext w:val="0"/>
        <w:keepLines w:val="0"/>
        <w:pageBreakBefore w:val="0"/>
        <w:widowControl w:val="0"/>
        <w:numPr>
          <w:ilvl w:val="0"/>
          <w:numId w:val="0"/>
        </w:numPr>
        <w:kinsoku/>
        <w:wordWrap/>
        <w:overflowPunct/>
        <w:topLinePunct w:val="0"/>
        <w:autoSpaceDE/>
        <w:autoSpaceDN/>
        <w:bidi w:val="0"/>
        <w:spacing w:line="240" w:lineRule="auto"/>
        <w:jc w:val="both"/>
        <w:textAlignment w:val="auto"/>
        <w:rPr>
          <w:rFonts w:hint="eastAsia" w:ascii="宋体" w:hAnsi="宋体" w:eastAsia="宋体" w:cs="宋体"/>
          <w:b/>
          <w:bCs/>
          <w:color w:val="auto"/>
          <w:kern w:val="2"/>
          <w:sz w:val="28"/>
          <w:szCs w:val="28"/>
          <w:lang w:val="en-US" w:eastAsia="zh-CN" w:bidi="ar"/>
        </w:rPr>
      </w:pPr>
    </w:p>
    <w:p w14:paraId="1F77891B">
      <w:pPr>
        <w:keepNext w:val="0"/>
        <w:keepLines w:val="0"/>
        <w:pageBreakBefore w:val="0"/>
        <w:widowControl w:val="0"/>
        <w:numPr>
          <w:ilvl w:val="0"/>
          <w:numId w:val="0"/>
        </w:numPr>
        <w:kinsoku/>
        <w:wordWrap/>
        <w:overflowPunct/>
        <w:topLinePunct w:val="0"/>
        <w:autoSpaceDE/>
        <w:autoSpaceDN/>
        <w:bidi w:val="0"/>
        <w:spacing w:line="240" w:lineRule="auto"/>
        <w:jc w:val="both"/>
        <w:textAlignment w:val="auto"/>
        <w:rPr>
          <w:rFonts w:hint="eastAsia" w:ascii="宋体" w:hAnsi="宋体" w:eastAsia="宋体" w:cs="宋体"/>
          <w:b/>
          <w:bCs/>
          <w:color w:val="auto"/>
          <w:kern w:val="2"/>
          <w:sz w:val="28"/>
          <w:szCs w:val="28"/>
          <w:lang w:bidi="ar"/>
        </w:rPr>
      </w:pPr>
      <w:r>
        <w:rPr>
          <w:rFonts w:hint="eastAsia" w:ascii="宋体" w:hAnsi="宋体" w:eastAsia="宋体" w:cs="宋体"/>
          <w:b/>
          <w:bCs/>
          <w:color w:val="auto"/>
          <w:kern w:val="2"/>
          <w:sz w:val="28"/>
          <w:szCs w:val="28"/>
          <w:lang w:val="en-US" w:eastAsia="zh-CN" w:bidi="ar"/>
        </w:rPr>
        <w:t>三、</w:t>
      </w:r>
      <w:r>
        <w:rPr>
          <w:rFonts w:hint="eastAsia" w:ascii="宋体" w:hAnsi="宋体" w:eastAsia="宋体" w:cs="宋体"/>
          <w:b/>
          <w:bCs/>
          <w:color w:val="auto"/>
          <w:sz w:val="28"/>
          <w:szCs w:val="28"/>
          <w:lang w:eastAsia="zh-CN"/>
        </w:rPr>
        <w:t>木工</w:t>
      </w:r>
      <w:r>
        <w:rPr>
          <w:rFonts w:hint="eastAsia" w:ascii="宋体" w:hAnsi="宋体" w:eastAsia="宋体" w:cs="宋体"/>
          <w:b/>
          <w:bCs/>
          <w:color w:val="auto"/>
          <w:sz w:val="28"/>
          <w:szCs w:val="28"/>
          <w:lang w:val="en-US" w:eastAsia="zh-CN"/>
        </w:rPr>
        <w:t>工作内容及技术</w:t>
      </w:r>
      <w:r>
        <w:rPr>
          <w:rFonts w:hint="eastAsia" w:ascii="宋体" w:hAnsi="宋体" w:eastAsia="宋体" w:cs="宋体"/>
          <w:b/>
          <w:bCs/>
          <w:color w:val="auto"/>
          <w:kern w:val="2"/>
          <w:sz w:val="28"/>
          <w:szCs w:val="28"/>
          <w:lang w:bidi="ar"/>
        </w:rPr>
        <w:t>要求：</w:t>
      </w:r>
    </w:p>
    <w:p w14:paraId="1616002B">
      <w:pPr>
        <w:keepNext w:val="0"/>
        <w:keepLines w:val="0"/>
        <w:pageBreakBefore w:val="0"/>
        <w:widowControl w:val="0"/>
        <w:numPr>
          <w:ilvl w:val="0"/>
          <w:numId w:val="0"/>
        </w:numPr>
        <w:kinsoku/>
        <w:wordWrap/>
        <w:overflowPunct/>
        <w:topLinePunct w:val="0"/>
        <w:autoSpaceDE/>
        <w:autoSpaceDN/>
        <w:bidi w:val="0"/>
        <w:snapToGrid w:val="0"/>
        <w:spacing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lang w:val="en-US" w:eastAsia="zh-CN"/>
        </w:rPr>
        <w:t>1、</w:t>
      </w:r>
      <w:r>
        <w:rPr>
          <w:rFonts w:hint="eastAsia" w:ascii="宋体" w:hAnsi="宋体" w:eastAsia="宋体" w:cs="宋体"/>
          <w:color w:val="auto"/>
          <w:sz w:val="28"/>
          <w:szCs w:val="28"/>
        </w:rPr>
        <w:t>模板工程（包括但不限于）：为完成本项目所需的模板、木方、钢背楞等主要材料及其他辅助材料的全部费用</w:t>
      </w:r>
      <w:r>
        <w:rPr>
          <w:rFonts w:hint="eastAsia" w:cs="宋体"/>
          <w:color w:val="auto"/>
          <w:sz w:val="28"/>
          <w:szCs w:val="28"/>
          <w:lang w:eastAsia="zh-CN"/>
        </w:rPr>
        <w:t>。</w:t>
      </w:r>
      <w:r>
        <w:rPr>
          <w:rFonts w:hint="eastAsia" w:ascii="宋体" w:hAnsi="宋体" w:eastAsia="宋体" w:cs="宋体"/>
          <w:color w:val="auto"/>
          <w:sz w:val="28"/>
          <w:szCs w:val="28"/>
        </w:rPr>
        <w:t>以上各分项工程单价为固定综合单价，包括运输至甲方工地（含一切运费、包括退场回收运输费）、保护、装卸、码堆、存储、成品保护、安装所需辅材、调试、各项实验检验费、保险费、验收费、劳保基金、安全措施、技术指导支持、使用培训、质保期服务以及与有关的特殊要求等可能产生的所有成本和费用；包括图纸设计范围内所有（含二次结构、后施工水电管道井等）模板、限位及套管、对拉螺栓及止水螺杆（螺栓止水片厚度必须符合本工程设计图纸要求）等（所有人工、材料费）制安、螺杆割除、</w:t>
      </w:r>
      <w:r>
        <w:rPr>
          <w:rFonts w:hint="eastAsia" w:hAnsi="宋体" w:cs="宋体"/>
          <w:color w:val="auto"/>
          <w:sz w:val="28"/>
          <w:szCs w:val="28"/>
          <w:lang w:val="en-US" w:eastAsia="zh-CN"/>
        </w:rPr>
        <w:t>穿墙</w:t>
      </w:r>
      <w:r>
        <w:rPr>
          <w:rFonts w:hint="eastAsia" w:ascii="宋体" w:hAnsi="宋体" w:eastAsia="宋体" w:cs="宋体"/>
          <w:color w:val="auto"/>
          <w:sz w:val="28"/>
          <w:szCs w:val="28"/>
        </w:rPr>
        <w:t>螺杆孔</w:t>
      </w:r>
      <w:r>
        <w:rPr>
          <w:rFonts w:hint="eastAsia" w:hAnsi="宋体" w:cs="宋体"/>
          <w:color w:val="auto"/>
          <w:sz w:val="28"/>
          <w:szCs w:val="28"/>
          <w:lang w:val="en-US" w:eastAsia="zh-CN"/>
        </w:rPr>
        <w:t>发泡剂</w:t>
      </w:r>
      <w:r>
        <w:rPr>
          <w:rFonts w:hint="eastAsia" w:ascii="宋体" w:hAnsi="宋体" w:eastAsia="宋体" w:cs="宋体"/>
          <w:color w:val="auto"/>
          <w:sz w:val="28"/>
          <w:szCs w:val="28"/>
        </w:rPr>
        <w:t>封堵、外丝及螺母拆除，电焊、加固件、小型机具、所有主材、辅材（铁钉、铁丝）等。</w:t>
      </w:r>
    </w:p>
    <w:p w14:paraId="65112C23">
      <w:pPr>
        <w:keepNext w:val="0"/>
        <w:keepLines w:val="0"/>
        <w:pageBreakBefore w:val="0"/>
        <w:widowControl w:val="0"/>
        <w:numPr>
          <w:ilvl w:val="0"/>
          <w:numId w:val="0"/>
        </w:numPr>
        <w:kinsoku/>
        <w:wordWrap/>
        <w:overflowPunct/>
        <w:topLinePunct w:val="0"/>
        <w:autoSpaceDE/>
        <w:autoSpaceDN/>
        <w:bidi w:val="0"/>
        <w:snapToGrid w:val="0"/>
        <w:spacing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lang w:val="en-US" w:eastAsia="zh-CN"/>
        </w:rPr>
        <w:t>2、</w:t>
      </w:r>
      <w:r>
        <w:rPr>
          <w:rFonts w:hint="eastAsia" w:ascii="宋体" w:hAnsi="宋体" w:eastAsia="宋体" w:cs="宋体"/>
          <w:color w:val="auto"/>
          <w:sz w:val="28"/>
          <w:szCs w:val="28"/>
        </w:rPr>
        <w:t>乙方须提供全新的、未经使用并可正常使用的优等材料（使用腹模模板，并保证使用</w:t>
      </w:r>
      <w:r>
        <w:rPr>
          <w:rFonts w:hint="eastAsia" w:hAnsi="宋体" w:cs="宋体"/>
          <w:color w:val="auto"/>
          <w:sz w:val="28"/>
          <w:szCs w:val="28"/>
          <w:lang w:val="en-US" w:eastAsia="zh-CN"/>
        </w:rPr>
        <w:t>4</w:t>
      </w:r>
      <w:r>
        <w:rPr>
          <w:rFonts w:hint="eastAsia" w:ascii="宋体" w:hAnsi="宋体" w:eastAsia="宋体" w:cs="宋体"/>
          <w:color w:val="auto"/>
          <w:sz w:val="28"/>
          <w:szCs w:val="28"/>
        </w:rPr>
        <w:t>次后全部更换，保证模板完好，不影响混凝土成型质量），并保证所提供的材料具备符合要求的安全认证和质量合格认证。</w:t>
      </w:r>
      <w:r>
        <w:rPr>
          <w:rFonts w:hint="eastAsia" w:ascii="宋体" w:hAnsi="宋体" w:eastAsia="宋体" w:cs="宋体"/>
          <w:color w:val="auto"/>
          <w:sz w:val="28"/>
          <w:szCs w:val="28"/>
          <w:highlight w:val="yellow"/>
          <w:lang w:eastAsia="zh-CN"/>
        </w:rPr>
        <w:t>卫生间等</w:t>
      </w:r>
      <w:r>
        <w:rPr>
          <w:rFonts w:hint="eastAsia" w:ascii="宋体" w:hAnsi="宋体" w:eastAsia="宋体" w:cs="宋体"/>
          <w:color w:val="auto"/>
          <w:sz w:val="28"/>
          <w:szCs w:val="28"/>
          <w:highlight w:val="yellow"/>
          <w:lang w:val="en-US" w:eastAsia="zh-CN"/>
        </w:rPr>
        <w:t>局部降板区板面</w:t>
      </w:r>
      <w:r>
        <w:rPr>
          <w:rFonts w:hint="eastAsia" w:ascii="宋体" w:hAnsi="宋体" w:eastAsia="宋体" w:cs="宋体"/>
          <w:color w:val="auto"/>
          <w:sz w:val="28"/>
          <w:szCs w:val="28"/>
          <w:highlight w:val="yellow"/>
          <w:lang w:eastAsia="zh-CN"/>
        </w:rPr>
        <w:t>采用定型化钢模进行支模浇筑砼。</w:t>
      </w:r>
      <w:r>
        <w:rPr>
          <w:rFonts w:hint="eastAsia" w:hAnsi="宋体" w:cs="宋体"/>
          <w:color w:val="auto"/>
          <w:sz w:val="28"/>
          <w:szCs w:val="28"/>
          <w:highlight w:val="yellow"/>
          <w:lang w:val="en-US" w:eastAsia="zh-CN"/>
        </w:rPr>
        <w:t>墙柱模加固采用钢背楞加固件，其中柱采用方圆扣加固，不得采用对拉螺栓加固处理。</w:t>
      </w:r>
      <w:bookmarkStart w:id="30" w:name="_Hlk167133365"/>
      <w:r>
        <w:rPr>
          <w:rFonts w:hint="eastAsia" w:ascii="宋体" w:hAnsi="宋体" w:eastAsia="宋体" w:cs="宋体"/>
          <w:color w:val="auto"/>
          <w:sz w:val="28"/>
          <w:szCs w:val="28"/>
        </w:rPr>
        <w:t>乙方不得以任何理由耽误甲方进度计划要求，需充分做好春节不放假加班施工的准备，加班费用不予增加，投标人需充分考虑报价</w:t>
      </w:r>
      <w:bookmarkEnd w:id="30"/>
      <w:r>
        <w:rPr>
          <w:rFonts w:hint="eastAsia" w:ascii="宋体" w:hAnsi="宋体" w:eastAsia="宋体" w:cs="宋体"/>
          <w:color w:val="auto"/>
          <w:sz w:val="28"/>
          <w:szCs w:val="28"/>
        </w:rPr>
        <w:t>。</w:t>
      </w:r>
      <w:r>
        <w:rPr>
          <w:rFonts w:hint="eastAsia" w:ascii="宋体" w:hAnsi="宋体" w:eastAsia="宋体" w:cs="宋体"/>
          <w:color w:val="auto"/>
          <w:sz w:val="28"/>
          <w:szCs w:val="28"/>
          <w:highlight w:val="yellow"/>
        </w:rPr>
        <w:t>高层（</w:t>
      </w:r>
      <w:r>
        <w:rPr>
          <w:rFonts w:hint="eastAsia" w:hAnsi="宋体" w:cs="宋体"/>
          <w:color w:val="auto"/>
          <w:sz w:val="28"/>
          <w:szCs w:val="28"/>
          <w:highlight w:val="yellow"/>
          <w:lang w:eastAsia="zh-CN"/>
        </w:rPr>
        <w:t>17层</w:t>
      </w:r>
      <w:r>
        <w:rPr>
          <w:rFonts w:hint="eastAsia" w:ascii="宋体" w:hAnsi="宋体" w:eastAsia="宋体" w:cs="宋体"/>
          <w:color w:val="auto"/>
          <w:sz w:val="28"/>
          <w:szCs w:val="28"/>
          <w:highlight w:val="yellow"/>
        </w:rPr>
        <w:t>及以上）地上部分一次性配三层水平构件（底板）模板，竖向构件（墙柱）模板</w:t>
      </w:r>
      <w:r>
        <w:rPr>
          <w:rFonts w:hint="eastAsia" w:hAnsi="宋体" w:cs="宋体"/>
          <w:color w:val="auto"/>
          <w:sz w:val="28"/>
          <w:szCs w:val="28"/>
          <w:highlight w:val="yellow"/>
          <w:lang w:val="en-US" w:eastAsia="zh-CN"/>
        </w:rPr>
        <w:t>必须满足施工周转需求</w:t>
      </w:r>
      <w:r>
        <w:rPr>
          <w:rFonts w:hint="eastAsia" w:ascii="宋体" w:hAnsi="宋体" w:eastAsia="宋体" w:cs="宋体"/>
          <w:color w:val="auto"/>
          <w:sz w:val="28"/>
          <w:szCs w:val="28"/>
          <w:highlight w:val="yellow"/>
        </w:rPr>
        <w:t>；</w:t>
      </w:r>
      <w:r>
        <w:rPr>
          <w:rFonts w:hint="eastAsia" w:ascii="宋体" w:hAnsi="宋体" w:eastAsia="宋体" w:cs="宋体"/>
          <w:color w:val="auto"/>
          <w:sz w:val="28"/>
          <w:szCs w:val="28"/>
        </w:rPr>
        <w:t>多层（5层及以下）不低于两套模板。每层</w:t>
      </w:r>
      <w:r>
        <w:rPr>
          <w:rFonts w:hint="eastAsia" w:hAnsi="宋体" w:cs="宋体"/>
          <w:color w:val="auto"/>
          <w:sz w:val="28"/>
          <w:szCs w:val="28"/>
          <w:lang w:val="en-US" w:eastAsia="zh-CN"/>
        </w:rPr>
        <w:t>模板</w:t>
      </w:r>
      <w:r>
        <w:rPr>
          <w:rFonts w:hint="eastAsia" w:ascii="宋体" w:hAnsi="宋体" w:eastAsia="宋体" w:cs="宋体"/>
          <w:color w:val="auto"/>
          <w:sz w:val="28"/>
          <w:szCs w:val="28"/>
        </w:rPr>
        <w:t>施工不得超过7天，当业主过程要求进度加快时，分包方须无条件增加人工、材料投入。乙方报价需综合考虑此项费用，以上费用均包含在综合单价内，乙方不得以任何理由要求增加单价。乙方必须配合甲方图纸变更所涉及一切工作内容，最终结算以实际工程量结算不得另外增加费用。</w:t>
      </w:r>
    </w:p>
    <w:p w14:paraId="5ED73598">
      <w:pPr>
        <w:keepNext w:val="0"/>
        <w:keepLines w:val="0"/>
        <w:pageBreakBefore w:val="0"/>
        <w:widowControl w:val="0"/>
        <w:numPr>
          <w:ilvl w:val="0"/>
          <w:numId w:val="0"/>
        </w:numPr>
        <w:kinsoku/>
        <w:wordWrap/>
        <w:overflowPunct/>
        <w:topLinePunct w:val="0"/>
        <w:autoSpaceDE/>
        <w:autoSpaceDN/>
        <w:bidi w:val="0"/>
        <w:snapToGrid w:val="0"/>
        <w:spacing w:line="240" w:lineRule="auto"/>
        <w:ind w:firstLine="560" w:firstLineChars="200"/>
        <w:jc w:val="both"/>
        <w:textAlignment w:val="auto"/>
        <w:rPr>
          <w:rFonts w:hint="eastAsia" w:ascii="宋体" w:hAnsi="宋体" w:eastAsia="宋体" w:cs="宋体"/>
          <w:color w:val="auto"/>
          <w:sz w:val="28"/>
          <w:szCs w:val="28"/>
          <w:highlight w:val="yellow"/>
        </w:rPr>
      </w:pPr>
      <w:r>
        <w:rPr>
          <w:rFonts w:hint="eastAsia" w:hAnsi="宋体" w:cs="宋体"/>
          <w:color w:val="auto"/>
          <w:sz w:val="28"/>
          <w:szCs w:val="28"/>
          <w:lang w:val="en-US" w:eastAsia="zh-CN"/>
        </w:rPr>
        <w:t>3、</w:t>
      </w:r>
      <w:r>
        <w:rPr>
          <w:rFonts w:hint="eastAsia" w:ascii="宋体" w:hAnsi="宋体" w:eastAsia="宋体" w:cs="宋体"/>
          <w:color w:val="auto"/>
          <w:sz w:val="28"/>
          <w:szCs w:val="28"/>
        </w:rPr>
        <w:t>在浇筑砼时木工负责看模，并负责伸缩缝、后浇带部位漏出砼及砂浆清理工作。同时要对伸缩缝、后浇带部位及时覆盖和二次加固工作。配合幕墙、空调洞、排气孔套管</w:t>
      </w:r>
      <w:r>
        <w:rPr>
          <w:rFonts w:hint="eastAsia" w:hAnsi="宋体" w:cs="宋体"/>
          <w:color w:val="auto"/>
          <w:sz w:val="28"/>
          <w:szCs w:val="28"/>
          <w:lang w:eastAsia="zh-CN"/>
        </w:rPr>
        <w:t>、</w:t>
      </w:r>
      <w:r>
        <w:rPr>
          <w:rFonts w:hint="eastAsia" w:hAnsi="宋体" w:cs="宋体"/>
          <w:color w:val="auto"/>
          <w:sz w:val="28"/>
          <w:szCs w:val="28"/>
          <w:lang w:val="en-US" w:eastAsia="zh-CN"/>
        </w:rPr>
        <w:t>脚手架连墙件</w:t>
      </w:r>
      <w:r>
        <w:rPr>
          <w:rFonts w:hint="eastAsia" w:ascii="宋体" w:hAnsi="宋体" w:eastAsia="宋体" w:cs="宋体"/>
          <w:color w:val="auto"/>
          <w:sz w:val="28"/>
          <w:szCs w:val="28"/>
        </w:rPr>
        <w:t>预埋，墙体预埋钢筋钻孔（墙体拉结筋及二次结构植筋，木工和钢筋工共同负责，若木工不钻孔，后植筋费用双方平摊）。悬挑</w:t>
      </w:r>
      <w:r>
        <w:rPr>
          <w:rFonts w:hint="eastAsia" w:ascii="宋体" w:hAnsi="宋体" w:eastAsia="宋体" w:cs="宋体"/>
          <w:color w:val="auto"/>
          <w:sz w:val="28"/>
          <w:szCs w:val="28"/>
          <w:lang w:val="en-US" w:eastAsia="zh-CN"/>
        </w:rPr>
        <w:t>脚手架悬挑层模板封堵</w:t>
      </w:r>
      <w:r>
        <w:rPr>
          <w:rFonts w:hint="eastAsia" w:ascii="宋体" w:hAnsi="宋体" w:eastAsia="宋体" w:cs="宋体"/>
          <w:color w:val="auto"/>
          <w:sz w:val="28"/>
          <w:szCs w:val="28"/>
        </w:rPr>
        <w:t>制作及拆除，</w:t>
      </w:r>
      <w:r>
        <w:rPr>
          <w:rFonts w:hint="eastAsia" w:hAnsi="宋体" w:cs="宋体"/>
          <w:color w:val="auto"/>
          <w:sz w:val="28"/>
          <w:szCs w:val="28"/>
          <w:lang w:val="en-US" w:eastAsia="zh-CN"/>
        </w:rPr>
        <w:t>卸料</w:t>
      </w:r>
      <w:r>
        <w:rPr>
          <w:rFonts w:hint="eastAsia" w:ascii="宋体" w:hAnsi="宋体" w:eastAsia="宋体" w:cs="宋体"/>
          <w:color w:val="auto"/>
          <w:sz w:val="28"/>
          <w:szCs w:val="28"/>
        </w:rPr>
        <w:t>平台铺木方胶板，物料提升机</w:t>
      </w:r>
      <w:r>
        <w:rPr>
          <w:rFonts w:hint="eastAsia" w:hAnsi="宋体" w:cs="宋体"/>
          <w:color w:val="auto"/>
          <w:sz w:val="28"/>
          <w:szCs w:val="28"/>
          <w:lang w:eastAsia="zh-CN"/>
        </w:rPr>
        <w:t>、</w:t>
      </w:r>
      <w:r>
        <w:rPr>
          <w:rFonts w:hint="eastAsia" w:hAnsi="宋体" w:cs="宋体"/>
          <w:color w:val="auto"/>
          <w:sz w:val="28"/>
          <w:szCs w:val="28"/>
          <w:lang w:val="en-US" w:eastAsia="zh-CN"/>
        </w:rPr>
        <w:t>人货电梯</w:t>
      </w:r>
      <w:r>
        <w:rPr>
          <w:rFonts w:hint="eastAsia" w:ascii="宋体" w:hAnsi="宋体" w:eastAsia="宋体" w:cs="宋体"/>
          <w:color w:val="auto"/>
          <w:sz w:val="28"/>
          <w:szCs w:val="28"/>
        </w:rPr>
        <w:t>接料平台铺板及立面防护板，电梯井等所有洞口封板、起重吊装时安排人员配合、电梯井及所有洞口每层钢筋预留时分包方需开槽、打眼配合，楼梯踏步板一至二层满铺，二层以上楼梯踏步阳角用8cm胶板条防护、所有主楼一层墙柱阳角用8cm板条（或成品反光塑胶）防护，高度不低于1000cm。</w:t>
      </w:r>
    </w:p>
    <w:p w14:paraId="0130043B">
      <w:pPr>
        <w:keepNext w:val="0"/>
        <w:keepLines w:val="0"/>
        <w:pageBreakBefore w:val="0"/>
        <w:widowControl w:val="0"/>
        <w:numPr>
          <w:ilvl w:val="0"/>
          <w:numId w:val="0"/>
        </w:numPr>
        <w:kinsoku/>
        <w:wordWrap/>
        <w:overflowPunct/>
        <w:topLinePunct w:val="0"/>
        <w:autoSpaceDE/>
        <w:autoSpaceDN/>
        <w:bidi w:val="0"/>
        <w:snapToGrid w:val="0"/>
        <w:spacing w:line="240" w:lineRule="auto"/>
        <w:ind w:firstLine="560" w:firstLineChars="200"/>
        <w:jc w:val="both"/>
        <w:textAlignment w:val="auto"/>
        <w:rPr>
          <w:rFonts w:hint="eastAsia" w:ascii="宋体" w:hAnsi="宋体" w:eastAsia="宋体" w:cs="宋体"/>
          <w:color w:val="auto"/>
          <w:sz w:val="28"/>
          <w:szCs w:val="28"/>
          <w:highlight w:val="yellow"/>
        </w:rPr>
      </w:pPr>
      <w:r>
        <w:rPr>
          <w:rFonts w:hint="eastAsia" w:ascii="宋体" w:hAnsi="宋体" w:eastAsia="宋体" w:cs="宋体"/>
          <w:color w:val="auto"/>
          <w:sz w:val="28"/>
          <w:szCs w:val="28"/>
          <w:lang w:val="en-US" w:eastAsia="zh-CN"/>
        </w:rPr>
        <w:t>4、</w:t>
      </w:r>
      <w:r>
        <w:rPr>
          <w:rFonts w:hint="eastAsia" w:ascii="宋体" w:hAnsi="宋体" w:eastAsia="宋体" w:cs="宋体"/>
          <w:color w:val="auto"/>
          <w:sz w:val="28"/>
          <w:szCs w:val="28"/>
        </w:rPr>
        <w:t>框架梁柱交界处大柱（单边长度≥800mm）和大梁（高度≥800mm）交接处采用后封模板法。</w:t>
      </w:r>
    </w:p>
    <w:p w14:paraId="2A1EF026">
      <w:pPr>
        <w:keepNext w:val="0"/>
        <w:keepLines w:val="0"/>
        <w:pageBreakBefore w:val="0"/>
        <w:widowControl w:val="0"/>
        <w:numPr>
          <w:ilvl w:val="0"/>
          <w:numId w:val="0"/>
        </w:numPr>
        <w:kinsoku/>
        <w:wordWrap/>
        <w:overflowPunct/>
        <w:topLinePunct w:val="0"/>
        <w:autoSpaceDE/>
        <w:autoSpaceDN/>
        <w:bidi w:val="0"/>
        <w:snapToGrid w:val="0"/>
        <w:spacing w:line="240" w:lineRule="auto"/>
        <w:ind w:firstLine="560" w:firstLineChars="200"/>
        <w:jc w:val="both"/>
        <w:textAlignment w:val="auto"/>
        <w:rPr>
          <w:rFonts w:hint="eastAsia" w:ascii="宋体" w:hAnsi="宋体" w:eastAsia="宋体" w:cs="宋体"/>
          <w:color w:val="auto"/>
          <w:sz w:val="28"/>
          <w:szCs w:val="28"/>
          <w:highlight w:val="yellow"/>
        </w:rPr>
      </w:pPr>
      <w:r>
        <w:rPr>
          <w:rFonts w:hint="eastAsia" w:ascii="宋体" w:hAnsi="宋体" w:eastAsia="宋体" w:cs="宋体"/>
          <w:color w:val="auto"/>
          <w:sz w:val="28"/>
          <w:szCs w:val="28"/>
          <w:lang w:val="en-US" w:eastAsia="zh-CN"/>
        </w:rPr>
        <w:t>5、</w:t>
      </w:r>
      <w:r>
        <w:rPr>
          <w:rFonts w:hint="eastAsia" w:ascii="宋体" w:hAnsi="宋体" w:eastAsia="宋体" w:cs="宋体"/>
          <w:color w:val="auto"/>
          <w:sz w:val="28"/>
          <w:szCs w:val="28"/>
        </w:rPr>
        <w:t>混凝土墙、柱楼层交接处模板必须下挂，模板向下层延伸≤200mm，并利用下层对拉螺杆固定，下层对拉螺杆距楼面间距≤150mm，水平间距≤700mm，且在交界处粘贴双面密封胶条，保证上下接缝平顺。</w:t>
      </w:r>
    </w:p>
    <w:p w14:paraId="7FEFBBCB">
      <w:pPr>
        <w:keepNext w:val="0"/>
        <w:keepLines w:val="0"/>
        <w:pageBreakBefore w:val="0"/>
        <w:widowControl w:val="0"/>
        <w:numPr>
          <w:ilvl w:val="0"/>
          <w:numId w:val="0"/>
        </w:numPr>
        <w:kinsoku/>
        <w:wordWrap/>
        <w:overflowPunct/>
        <w:topLinePunct w:val="0"/>
        <w:autoSpaceDE/>
        <w:autoSpaceDN/>
        <w:bidi w:val="0"/>
        <w:snapToGrid w:val="0"/>
        <w:spacing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lang w:val="en-US" w:eastAsia="zh-CN"/>
        </w:rPr>
        <w:t>6、</w:t>
      </w:r>
      <w:r>
        <w:rPr>
          <w:rFonts w:hint="eastAsia" w:ascii="宋体" w:hAnsi="宋体" w:eastAsia="宋体" w:cs="宋体"/>
          <w:color w:val="auto"/>
          <w:sz w:val="28"/>
          <w:szCs w:val="28"/>
        </w:rPr>
        <w:t>柱、剪力墙边门垛或构造柱小于360mm时，必须采用钢筋混凝土结构，并应与主体结构整浇；门窗洞口上至梁底距离≤300mm时，门窗过梁必须与结构梁整浇。</w:t>
      </w:r>
    </w:p>
    <w:p w14:paraId="2B0445DC">
      <w:pPr>
        <w:keepNext w:val="0"/>
        <w:keepLines w:val="0"/>
        <w:pageBreakBefore w:val="0"/>
        <w:widowControl w:val="0"/>
        <w:numPr>
          <w:ilvl w:val="0"/>
          <w:numId w:val="0"/>
        </w:numPr>
        <w:kinsoku/>
        <w:wordWrap/>
        <w:overflowPunct/>
        <w:topLinePunct w:val="0"/>
        <w:autoSpaceDE/>
        <w:autoSpaceDN/>
        <w:bidi w:val="0"/>
        <w:snapToGrid w:val="0"/>
        <w:spacing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lang w:val="en-US" w:eastAsia="zh-CN"/>
        </w:rPr>
        <w:t>7、</w:t>
      </w:r>
      <w:r>
        <w:rPr>
          <w:rFonts w:hint="eastAsia" w:ascii="宋体" w:hAnsi="宋体" w:eastAsia="宋体" w:cs="宋体"/>
          <w:color w:val="auto"/>
          <w:sz w:val="28"/>
          <w:szCs w:val="28"/>
        </w:rPr>
        <w:t>伸缩缝、梁板后浇带模板支撑体系必须独立搭设</w:t>
      </w:r>
      <w:r>
        <w:rPr>
          <w:rFonts w:hint="eastAsia" w:hAnsi="宋体" w:cs="宋体"/>
          <w:color w:val="auto"/>
          <w:sz w:val="28"/>
          <w:szCs w:val="28"/>
          <w:lang w:eastAsia="zh-CN"/>
        </w:rPr>
        <w:t>（</w:t>
      </w:r>
      <w:r>
        <w:rPr>
          <w:rFonts w:hint="eastAsia" w:hAnsi="宋体" w:cs="宋体"/>
          <w:color w:val="auto"/>
          <w:sz w:val="28"/>
          <w:szCs w:val="28"/>
          <w:lang w:val="en-US" w:eastAsia="zh-CN"/>
        </w:rPr>
        <w:t>一标段与二标段交界处由二标段负责施工</w:t>
      </w:r>
      <w:r>
        <w:rPr>
          <w:rFonts w:hint="eastAsia" w:hAnsi="宋体" w:cs="宋体"/>
          <w:color w:val="auto"/>
          <w:sz w:val="28"/>
          <w:szCs w:val="28"/>
          <w:lang w:eastAsia="zh-CN"/>
        </w:rPr>
        <w:t>）</w:t>
      </w:r>
      <w:r>
        <w:rPr>
          <w:rFonts w:hint="eastAsia" w:ascii="宋体" w:hAnsi="宋体" w:eastAsia="宋体" w:cs="宋体"/>
          <w:color w:val="auto"/>
          <w:sz w:val="28"/>
          <w:szCs w:val="28"/>
        </w:rPr>
        <w:t>，不得与主体模板支撑体系交叉混搭，主体模板支撑体系拆除时须保留后浇带模板支撑体系，后浇带混凝土未浇筑不得拆除后浇带模板支撑体系。结构施工期间在满足设计和施工规范要求的前提下经招标方同意后方可拆除。并用胶板在上部覆盖固定</w:t>
      </w:r>
      <w:r>
        <w:rPr>
          <w:rFonts w:hint="eastAsia" w:hAnsi="宋体" w:cs="宋体"/>
          <w:color w:val="auto"/>
          <w:sz w:val="28"/>
          <w:szCs w:val="28"/>
          <w:lang w:eastAsia="zh-CN"/>
        </w:rPr>
        <w:t>（</w:t>
      </w:r>
      <w:r>
        <w:rPr>
          <w:rFonts w:hint="eastAsia" w:hAnsi="宋体" w:cs="宋体"/>
          <w:color w:val="auto"/>
          <w:sz w:val="28"/>
          <w:szCs w:val="28"/>
          <w:lang w:val="en-US" w:eastAsia="zh-CN"/>
        </w:rPr>
        <w:t>地库顶板上部后浇带招标方提供钢板临时覆盖时，乙方负责安（含垫木方）拆</w:t>
      </w:r>
      <w:r>
        <w:rPr>
          <w:rFonts w:hint="eastAsia" w:hAnsi="宋体" w:cs="宋体"/>
          <w:color w:val="auto"/>
          <w:sz w:val="28"/>
          <w:szCs w:val="28"/>
          <w:lang w:eastAsia="zh-CN"/>
        </w:rPr>
        <w:t>）</w:t>
      </w:r>
      <w:r>
        <w:rPr>
          <w:rFonts w:hint="eastAsia" w:ascii="宋体" w:hAnsi="宋体" w:eastAsia="宋体" w:cs="宋体"/>
          <w:color w:val="auto"/>
          <w:sz w:val="28"/>
          <w:szCs w:val="28"/>
        </w:rPr>
        <w:t>，防止杂物落入、止水螺杆清除等包含在合同单价内，分包方不得以任何理由要求增加单价或另补加工日（此条款范围内材料由分包方自备）。</w:t>
      </w:r>
    </w:p>
    <w:p w14:paraId="5DF8C264">
      <w:pPr>
        <w:keepNext w:val="0"/>
        <w:keepLines w:val="0"/>
        <w:pageBreakBefore w:val="0"/>
        <w:widowControl w:val="0"/>
        <w:numPr>
          <w:ilvl w:val="0"/>
          <w:numId w:val="0"/>
        </w:numPr>
        <w:kinsoku/>
        <w:wordWrap/>
        <w:overflowPunct/>
        <w:topLinePunct w:val="0"/>
        <w:autoSpaceDE/>
        <w:autoSpaceDN/>
        <w:bidi w:val="0"/>
        <w:snapToGrid w:val="0"/>
        <w:spacing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lang w:val="en-US" w:eastAsia="zh-CN"/>
        </w:rPr>
        <w:t>8、</w:t>
      </w:r>
      <w:r>
        <w:rPr>
          <w:rFonts w:hint="eastAsia" w:ascii="宋体" w:hAnsi="宋体" w:eastAsia="宋体" w:cs="宋体"/>
          <w:color w:val="auto"/>
          <w:sz w:val="28"/>
          <w:szCs w:val="28"/>
        </w:rPr>
        <w:t>乙方必须对因模板施工造成的涨模、跑模进行处理（按照甲方要求</w:t>
      </w:r>
      <w:r>
        <w:rPr>
          <w:rFonts w:hint="eastAsia" w:hAnsi="宋体" w:cs="宋体"/>
          <w:color w:val="auto"/>
          <w:sz w:val="28"/>
          <w:szCs w:val="28"/>
          <w:lang w:val="en-US" w:eastAsia="zh-CN"/>
        </w:rPr>
        <w:t>方案</w:t>
      </w:r>
      <w:r>
        <w:rPr>
          <w:rFonts w:hint="eastAsia" w:ascii="宋体" w:hAnsi="宋体" w:eastAsia="宋体" w:cs="宋体"/>
          <w:color w:val="auto"/>
          <w:sz w:val="28"/>
          <w:szCs w:val="28"/>
        </w:rPr>
        <w:t>处理），对涨模、跑模情况较严重的，除进行质量罚款外，对所浪费的材料按实从投标方的结算金额中扣除。如果投标方未能按照招标方要求的时间内采用</w:t>
      </w:r>
      <w:r>
        <w:rPr>
          <w:rFonts w:hint="eastAsia" w:hAnsi="宋体" w:cs="宋体"/>
          <w:color w:val="auto"/>
          <w:sz w:val="28"/>
          <w:szCs w:val="28"/>
          <w:lang w:val="en-US" w:eastAsia="zh-CN"/>
        </w:rPr>
        <w:t>花钻及磨光机</w:t>
      </w:r>
      <w:r>
        <w:rPr>
          <w:rFonts w:hint="eastAsia" w:ascii="宋体" w:hAnsi="宋体" w:eastAsia="宋体" w:cs="宋体"/>
          <w:color w:val="auto"/>
          <w:sz w:val="28"/>
          <w:szCs w:val="28"/>
        </w:rPr>
        <w:t>打磨完成涨模、跑模砼的处理</w:t>
      </w:r>
      <w:r>
        <w:rPr>
          <w:rFonts w:hint="eastAsia" w:hAnsi="宋体" w:cs="宋体"/>
          <w:color w:val="auto"/>
          <w:sz w:val="28"/>
          <w:szCs w:val="28"/>
          <w:lang w:eastAsia="zh-CN"/>
        </w:rPr>
        <w:t>，</w:t>
      </w:r>
      <w:r>
        <w:rPr>
          <w:rFonts w:hint="eastAsia" w:hAnsi="宋体" w:cs="宋体"/>
          <w:color w:val="auto"/>
          <w:sz w:val="28"/>
          <w:szCs w:val="28"/>
          <w:lang w:val="en-US" w:eastAsia="zh-CN"/>
        </w:rPr>
        <w:t>剔凿后的建筑垃圾清理至招标人指定地点；浇筑时</w:t>
      </w:r>
      <w:r>
        <w:rPr>
          <w:rFonts w:hint="eastAsia" w:ascii="宋体" w:hAnsi="宋体" w:eastAsia="宋体" w:cs="宋体"/>
          <w:color w:val="auto"/>
          <w:sz w:val="28"/>
          <w:szCs w:val="28"/>
        </w:rPr>
        <w:t>涨模、跑模</w:t>
      </w:r>
      <w:r>
        <w:rPr>
          <w:rFonts w:hint="eastAsia" w:hAnsi="宋体" w:cs="宋体"/>
          <w:color w:val="auto"/>
          <w:sz w:val="28"/>
          <w:szCs w:val="28"/>
          <w:lang w:val="en-US" w:eastAsia="zh-CN"/>
        </w:rPr>
        <w:t>混凝土及时清理利用。</w:t>
      </w:r>
      <w:r>
        <w:rPr>
          <w:rFonts w:hint="eastAsia" w:ascii="宋体" w:hAnsi="宋体" w:eastAsia="宋体" w:cs="宋体"/>
          <w:color w:val="auto"/>
          <w:sz w:val="28"/>
          <w:szCs w:val="28"/>
        </w:rPr>
        <w:t>招标方另行安排其他施工人员进行处理，所发生的金额双倍从投标方的结算金额中扣除。</w:t>
      </w:r>
    </w:p>
    <w:p w14:paraId="2B465C62">
      <w:pPr>
        <w:keepNext w:val="0"/>
        <w:keepLines w:val="0"/>
        <w:pageBreakBefore w:val="0"/>
        <w:widowControl w:val="0"/>
        <w:numPr>
          <w:ilvl w:val="0"/>
          <w:numId w:val="0"/>
        </w:numPr>
        <w:kinsoku/>
        <w:wordWrap/>
        <w:overflowPunct/>
        <w:topLinePunct w:val="0"/>
        <w:autoSpaceDE/>
        <w:autoSpaceDN/>
        <w:bidi w:val="0"/>
        <w:snapToGrid w:val="0"/>
        <w:spacing w:line="240" w:lineRule="auto"/>
        <w:ind w:firstLine="560" w:firstLineChars="200"/>
        <w:jc w:val="both"/>
        <w:textAlignment w:val="auto"/>
        <w:rPr>
          <w:rFonts w:hint="eastAsia" w:ascii="宋体" w:hAnsi="宋体" w:eastAsia="宋体" w:cs="宋体"/>
          <w:color w:val="auto"/>
          <w:sz w:val="28"/>
          <w:szCs w:val="28"/>
        </w:rPr>
      </w:pPr>
      <w:r>
        <w:rPr>
          <w:rFonts w:hint="eastAsia" w:hAnsi="宋体" w:cs="宋体"/>
          <w:color w:val="auto"/>
          <w:sz w:val="28"/>
          <w:szCs w:val="28"/>
          <w:lang w:val="en-US" w:eastAsia="zh-CN"/>
        </w:rPr>
        <w:t>9、</w:t>
      </w:r>
      <w:r>
        <w:rPr>
          <w:rFonts w:hint="eastAsia" w:ascii="宋体" w:hAnsi="宋体" w:eastAsia="宋体" w:cs="宋体"/>
          <w:color w:val="auto"/>
          <w:sz w:val="28"/>
          <w:szCs w:val="28"/>
        </w:rPr>
        <w:t>地库顶板施工前招标人考虑地库顶板部分需要做为临时行车通道使用，部分模版及支撑需要保留，使用期限按招标人要求，投标人不得拒绝。</w:t>
      </w:r>
    </w:p>
    <w:p w14:paraId="7A20CA06">
      <w:pPr>
        <w:keepNext w:val="0"/>
        <w:keepLines w:val="0"/>
        <w:pageBreakBefore w:val="0"/>
        <w:widowControl w:val="0"/>
        <w:numPr>
          <w:ilvl w:val="0"/>
          <w:numId w:val="0"/>
        </w:numPr>
        <w:kinsoku/>
        <w:wordWrap/>
        <w:overflowPunct/>
        <w:topLinePunct w:val="0"/>
        <w:autoSpaceDE/>
        <w:autoSpaceDN/>
        <w:bidi w:val="0"/>
        <w:snapToGrid w:val="0"/>
        <w:spacing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lang w:val="en-US" w:eastAsia="zh-CN"/>
        </w:rPr>
        <w:t>10、</w:t>
      </w:r>
      <w:r>
        <w:rPr>
          <w:rFonts w:hint="eastAsia" w:ascii="宋体" w:hAnsi="宋体" w:eastAsia="宋体" w:cs="宋体"/>
          <w:color w:val="auto"/>
          <w:sz w:val="28"/>
          <w:szCs w:val="28"/>
        </w:rPr>
        <w:t>现场模板定位放线、高程引测、定位钢筋预埋及本次劳务招标范围内的工作，放线定位及水平标高的控制需中标人自行解决，招标人仅提供</w:t>
      </w:r>
      <w:r>
        <w:rPr>
          <w:rFonts w:hint="eastAsia" w:hAnsi="宋体" w:cs="宋体"/>
          <w:color w:val="auto"/>
          <w:sz w:val="28"/>
          <w:szCs w:val="28"/>
          <w:lang w:val="en-US" w:eastAsia="zh-CN"/>
        </w:rPr>
        <w:t>每层纵横各一道</w:t>
      </w:r>
      <w:r>
        <w:rPr>
          <w:rFonts w:hint="eastAsia" w:ascii="宋体" w:hAnsi="宋体" w:eastAsia="宋体" w:cs="宋体"/>
          <w:color w:val="auto"/>
          <w:sz w:val="28"/>
          <w:szCs w:val="28"/>
        </w:rPr>
        <w:t>主控制线及±0.000水平控制点，中标人自行引测，同时保证定位线的准确性；</w:t>
      </w:r>
    </w:p>
    <w:p w14:paraId="44F56501">
      <w:pPr>
        <w:keepNext w:val="0"/>
        <w:keepLines w:val="0"/>
        <w:pageBreakBefore w:val="0"/>
        <w:widowControl w:val="0"/>
        <w:numPr>
          <w:ilvl w:val="0"/>
          <w:numId w:val="0"/>
        </w:numPr>
        <w:kinsoku/>
        <w:wordWrap/>
        <w:overflowPunct/>
        <w:topLinePunct w:val="0"/>
        <w:autoSpaceDE/>
        <w:autoSpaceDN/>
        <w:bidi w:val="0"/>
        <w:snapToGrid w:val="0"/>
        <w:spacing w:line="240" w:lineRule="auto"/>
        <w:ind w:firstLine="560" w:firstLineChars="200"/>
        <w:jc w:val="both"/>
        <w:textAlignment w:val="auto"/>
        <w:rPr>
          <w:rFonts w:hint="default" w:eastAsia="宋体"/>
          <w:color w:val="auto"/>
          <w:lang w:val="en-US" w:eastAsia="zh-CN"/>
        </w:rPr>
      </w:pPr>
      <w:r>
        <w:rPr>
          <w:rFonts w:hint="eastAsia" w:ascii="宋体" w:hAnsi="宋体" w:eastAsia="宋体" w:cs="宋体"/>
          <w:color w:val="auto"/>
          <w:sz w:val="28"/>
          <w:szCs w:val="28"/>
          <w:lang w:val="en-US" w:eastAsia="zh-CN"/>
        </w:rPr>
        <w:t>11、</w:t>
      </w:r>
      <w:r>
        <w:rPr>
          <w:rFonts w:hint="eastAsia" w:ascii="宋体" w:hAnsi="宋体" w:eastAsia="宋体" w:cs="宋体"/>
          <w:color w:val="auto"/>
          <w:sz w:val="28"/>
          <w:szCs w:val="28"/>
        </w:rPr>
        <w:t>本报价包含高大模板，实际施工时严格按甲方审批通过的方案进行施工。</w:t>
      </w:r>
      <w:r>
        <w:rPr>
          <w:rFonts w:hint="eastAsia" w:hAnsi="宋体" w:cs="宋体"/>
          <w:color w:val="auto"/>
          <w:sz w:val="28"/>
          <w:szCs w:val="28"/>
          <w:lang w:val="en-US" w:eastAsia="zh-CN"/>
        </w:rPr>
        <w:t>报价中含施工现场临时道路模板安拆。</w:t>
      </w:r>
    </w:p>
    <w:p w14:paraId="4E36757E">
      <w:pPr>
        <w:keepNext w:val="0"/>
        <w:keepLines w:val="0"/>
        <w:pageBreakBefore w:val="0"/>
        <w:widowControl w:val="0"/>
        <w:numPr>
          <w:ilvl w:val="0"/>
          <w:numId w:val="0"/>
        </w:numPr>
        <w:kinsoku/>
        <w:wordWrap/>
        <w:overflowPunct/>
        <w:topLinePunct w:val="0"/>
        <w:autoSpaceDE/>
        <w:autoSpaceDN/>
        <w:bidi w:val="0"/>
        <w:snapToGrid w:val="0"/>
        <w:spacing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lang w:val="en-US" w:eastAsia="zh-CN"/>
        </w:rPr>
        <w:t>12、</w:t>
      </w:r>
      <w:r>
        <w:rPr>
          <w:rFonts w:hint="eastAsia" w:ascii="宋体" w:hAnsi="宋体" w:eastAsia="宋体" w:cs="宋体"/>
          <w:color w:val="auto"/>
          <w:sz w:val="28"/>
          <w:szCs w:val="28"/>
        </w:rPr>
        <w:t>不含税单价已包含成品保护及工完场清工作内容，分包方不得推诿并以此为由要求增加单价或另补加工日。</w:t>
      </w:r>
    </w:p>
    <w:p w14:paraId="1A462FF4">
      <w:pPr>
        <w:keepNext w:val="0"/>
        <w:keepLines w:val="0"/>
        <w:pageBreakBefore w:val="0"/>
        <w:widowControl w:val="0"/>
        <w:numPr>
          <w:ilvl w:val="0"/>
          <w:numId w:val="0"/>
        </w:numPr>
        <w:kinsoku/>
        <w:wordWrap/>
        <w:overflowPunct/>
        <w:topLinePunct w:val="0"/>
        <w:autoSpaceDE/>
        <w:autoSpaceDN/>
        <w:bidi w:val="0"/>
        <w:snapToGrid w:val="0"/>
        <w:spacing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lang w:val="en-US" w:eastAsia="zh-CN"/>
        </w:rPr>
        <w:t>13、</w:t>
      </w:r>
      <w:r>
        <w:rPr>
          <w:rFonts w:hint="eastAsia" w:ascii="宋体" w:hAnsi="宋体" w:eastAsia="宋体" w:cs="宋体"/>
          <w:color w:val="auto"/>
          <w:sz w:val="28"/>
          <w:szCs w:val="28"/>
        </w:rPr>
        <w:t>甲方提供的电子档图纸仅供乙方参考，不得作为工程施工使用，工程施工必须以甲方提供的签字盖章版的蓝图或设计变更为准，否则乙方承担由此引发的一切经济损失及不良后果，并无条件进行返工。</w:t>
      </w:r>
    </w:p>
    <w:p w14:paraId="11AA5A91">
      <w:pPr>
        <w:keepNext w:val="0"/>
        <w:keepLines w:val="0"/>
        <w:pageBreakBefore w:val="0"/>
        <w:widowControl w:val="0"/>
        <w:numPr>
          <w:ilvl w:val="0"/>
          <w:numId w:val="0"/>
        </w:numPr>
        <w:kinsoku/>
        <w:wordWrap/>
        <w:overflowPunct/>
        <w:topLinePunct w:val="0"/>
        <w:autoSpaceDE/>
        <w:autoSpaceDN/>
        <w:bidi w:val="0"/>
        <w:snapToGrid w:val="0"/>
        <w:spacing w:line="240" w:lineRule="auto"/>
        <w:ind w:firstLine="560" w:firstLineChars="200"/>
        <w:jc w:val="both"/>
        <w:textAlignment w:val="auto"/>
        <w:rPr>
          <w:rFonts w:hint="eastAsia" w:ascii="宋体" w:hAnsi="宋体" w:eastAsia="宋体" w:cs="宋体"/>
          <w:color w:val="auto"/>
          <w:sz w:val="28"/>
          <w:szCs w:val="28"/>
          <w:highlight w:val="yellow"/>
        </w:rPr>
      </w:pPr>
      <w:r>
        <w:rPr>
          <w:rFonts w:hint="eastAsia" w:hAnsi="宋体" w:cs="宋体"/>
          <w:color w:val="auto"/>
          <w:sz w:val="28"/>
          <w:szCs w:val="28"/>
          <w:lang w:val="en-US" w:eastAsia="zh-CN"/>
        </w:rPr>
        <w:t>14、</w:t>
      </w:r>
      <w:r>
        <w:rPr>
          <w:rFonts w:hint="eastAsia" w:ascii="宋体" w:hAnsi="宋体" w:eastAsia="宋体" w:cs="宋体"/>
          <w:color w:val="auto"/>
          <w:sz w:val="28"/>
          <w:szCs w:val="28"/>
        </w:rPr>
        <w:t>该项目须创“</w:t>
      </w:r>
      <w:r>
        <w:rPr>
          <w:rFonts w:hint="eastAsia" w:hAnsi="宋体" w:cs="宋体"/>
          <w:color w:val="auto"/>
          <w:sz w:val="28"/>
          <w:szCs w:val="28"/>
          <w:lang w:eastAsia="zh-CN"/>
        </w:rPr>
        <w:t>安徽省建筑安全生产标准化示范工地</w:t>
      </w:r>
      <w:r>
        <w:rPr>
          <w:rFonts w:hint="eastAsia" w:ascii="宋体" w:hAnsi="宋体" w:eastAsia="宋体" w:cs="宋体"/>
          <w:color w:val="auto"/>
          <w:sz w:val="28"/>
          <w:szCs w:val="28"/>
        </w:rPr>
        <w:t>”、确保黄山杯，乙方务必无条件配合甲方工作，如因班组原因导致“</w:t>
      </w:r>
      <w:r>
        <w:rPr>
          <w:rFonts w:hint="eastAsia" w:hAnsi="宋体" w:cs="宋体"/>
          <w:color w:val="auto"/>
          <w:sz w:val="28"/>
          <w:szCs w:val="28"/>
          <w:lang w:eastAsia="zh-CN"/>
        </w:rPr>
        <w:t>安徽省建筑安全生产标准化示范工地</w:t>
      </w:r>
      <w:r>
        <w:rPr>
          <w:rFonts w:hint="eastAsia" w:ascii="宋体" w:hAnsi="宋体" w:eastAsia="宋体" w:cs="宋体"/>
          <w:color w:val="auto"/>
          <w:sz w:val="28"/>
          <w:szCs w:val="28"/>
        </w:rPr>
        <w:t>”、“黄山杯”无法验收完成的，则扣除最终结算金额的5%。木工料场须时刻保持干净整洁，材料的卸货、堆放及退场需按照甲方要求码放至指定地点，钢管盘扣等甲供材乙方在使用完后务必按照甲方要求标准码放至指定地点；木工料场的周转，乙方所报单价包含木工料场的两次以内（含两次）周转费用，涉及卸料平台（含侧面及平面防护）、人货电梯及楼栋出入通道、钢筋场防护棚、安全长廊防护棚等顶棚的模板铺设（包工包料），及悬挑层封闭，放线孔的预留、防护及吊模，</w:t>
      </w:r>
      <w:r>
        <w:rPr>
          <w:rFonts w:hint="eastAsia" w:hAnsi="宋体" w:cs="宋体"/>
          <w:color w:val="auto"/>
          <w:sz w:val="28"/>
          <w:szCs w:val="28"/>
          <w:lang w:val="en-US" w:eastAsia="zh-CN"/>
        </w:rPr>
        <w:t>机房</w:t>
      </w:r>
      <w:r>
        <w:rPr>
          <w:rFonts w:hint="eastAsia" w:ascii="宋体" w:hAnsi="宋体" w:eastAsia="宋体" w:cs="宋体"/>
          <w:color w:val="auto"/>
          <w:sz w:val="28"/>
          <w:szCs w:val="28"/>
        </w:rPr>
        <w:t>工字钢</w:t>
      </w:r>
      <w:r>
        <w:rPr>
          <w:rFonts w:hint="eastAsia" w:hAnsi="宋体" w:cs="宋体"/>
          <w:color w:val="auto"/>
          <w:sz w:val="28"/>
          <w:szCs w:val="28"/>
          <w:lang w:val="en-US" w:eastAsia="zh-CN"/>
        </w:rPr>
        <w:t>洞口及塔吊附墙穿梁预留</w:t>
      </w:r>
      <w:r>
        <w:rPr>
          <w:rFonts w:hint="eastAsia" w:ascii="宋体" w:hAnsi="宋体" w:eastAsia="宋体" w:cs="宋体"/>
          <w:color w:val="auto"/>
          <w:sz w:val="28"/>
          <w:szCs w:val="28"/>
        </w:rPr>
        <w:t>木盒的制作</w:t>
      </w:r>
      <w:r>
        <w:rPr>
          <w:rFonts w:hint="eastAsia" w:hAnsi="宋体" w:cs="宋体"/>
          <w:color w:val="auto"/>
          <w:sz w:val="28"/>
          <w:szCs w:val="28"/>
          <w:lang w:val="en-US" w:eastAsia="zh-CN"/>
        </w:rPr>
        <w:t>与安拆</w:t>
      </w:r>
      <w:r>
        <w:rPr>
          <w:rFonts w:hint="eastAsia" w:hAnsi="宋体" w:cs="宋体"/>
          <w:color w:val="auto"/>
          <w:sz w:val="28"/>
          <w:szCs w:val="28"/>
          <w:lang w:eastAsia="zh-CN"/>
        </w:rPr>
        <w:t>。</w:t>
      </w:r>
    </w:p>
    <w:p w14:paraId="6F111B88">
      <w:pPr>
        <w:keepNext w:val="0"/>
        <w:keepLines w:val="0"/>
        <w:pageBreakBefore w:val="0"/>
        <w:widowControl w:val="0"/>
        <w:numPr>
          <w:ilvl w:val="0"/>
          <w:numId w:val="0"/>
        </w:numPr>
        <w:kinsoku/>
        <w:wordWrap/>
        <w:overflowPunct/>
        <w:topLinePunct w:val="0"/>
        <w:autoSpaceDE/>
        <w:autoSpaceDN/>
        <w:bidi w:val="0"/>
        <w:snapToGrid w:val="0"/>
        <w:spacing w:line="240" w:lineRule="auto"/>
        <w:ind w:firstLine="560" w:firstLineChars="200"/>
        <w:jc w:val="both"/>
        <w:textAlignment w:val="auto"/>
        <w:rPr>
          <w:rFonts w:hint="eastAsia" w:hAnsi="宋体" w:cs="宋体"/>
          <w:color w:val="auto"/>
          <w:sz w:val="28"/>
          <w:szCs w:val="28"/>
          <w:lang w:val="en-US" w:eastAsia="zh-CN"/>
        </w:rPr>
      </w:pPr>
      <w:r>
        <w:rPr>
          <w:rFonts w:hint="eastAsia" w:ascii="宋体" w:hAnsi="宋体" w:eastAsia="宋体" w:cs="宋体"/>
          <w:color w:val="auto"/>
          <w:sz w:val="28"/>
          <w:szCs w:val="28"/>
          <w:lang w:val="en-US" w:eastAsia="zh-CN"/>
        </w:rPr>
        <w:t>15、该项目为集团重点工程且为第三方巡检项目，所有单体均须达到安徽省质量标准化要求，确保“黄山杯”。混凝土成型后的观感及实测实量数据务必满足相关规范及甲方要求，达到清水模板效果</w:t>
      </w:r>
      <w:r>
        <w:rPr>
          <w:rFonts w:hint="eastAsia" w:ascii="宋体" w:hAnsi="宋体" w:eastAsia="宋体" w:cs="宋体"/>
          <w:color w:val="auto"/>
          <w:sz w:val="28"/>
          <w:szCs w:val="28"/>
        </w:rPr>
        <w:t>，</w:t>
      </w:r>
      <w:r>
        <w:rPr>
          <w:rFonts w:hint="eastAsia" w:ascii="宋体" w:hAnsi="宋体" w:eastAsia="宋体" w:cs="宋体"/>
          <w:color w:val="auto"/>
          <w:sz w:val="28"/>
          <w:szCs w:val="28"/>
          <w:highlight w:val="yellow"/>
        </w:rPr>
        <w:t>混凝土成型后的观感及实测实量数据（垂直平整度±8以内，楼层极差±15以内，截面尺寸±5）</w:t>
      </w:r>
      <w:r>
        <w:rPr>
          <w:rFonts w:hint="eastAsia" w:ascii="宋体" w:hAnsi="宋体" w:eastAsia="宋体" w:cs="宋体"/>
          <w:color w:val="auto"/>
          <w:sz w:val="28"/>
          <w:szCs w:val="28"/>
        </w:rPr>
        <w:t>务必满足相关规范及甲方要求。该项费用包含在综合单价内，乙方不得以任何理由要求增补费用。</w:t>
      </w:r>
      <w:r>
        <w:rPr>
          <w:rFonts w:hint="eastAsia" w:hAnsi="宋体" w:cs="宋体"/>
          <w:color w:val="auto"/>
          <w:sz w:val="28"/>
          <w:szCs w:val="28"/>
          <w:lang w:val="en-US" w:eastAsia="zh-CN"/>
        </w:rPr>
        <w:t xml:space="preserve"> </w:t>
      </w:r>
    </w:p>
    <w:p w14:paraId="5CED2066">
      <w:pPr>
        <w:keepNext w:val="0"/>
        <w:keepLines w:val="0"/>
        <w:pageBreakBefore w:val="0"/>
        <w:widowControl w:val="0"/>
        <w:numPr>
          <w:ilvl w:val="0"/>
          <w:numId w:val="0"/>
        </w:numPr>
        <w:kinsoku/>
        <w:wordWrap/>
        <w:overflowPunct/>
        <w:topLinePunct w:val="0"/>
        <w:autoSpaceDE/>
        <w:autoSpaceDN/>
        <w:bidi w:val="0"/>
        <w:snapToGrid w:val="0"/>
        <w:spacing w:line="240" w:lineRule="auto"/>
        <w:ind w:firstLine="560" w:firstLineChars="200"/>
        <w:jc w:val="both"/>
        <w:textAlignment w:val="auto"/>
        <w:rPr>
          <w:rFonts w:hint="eastAsia" w:hAnsi="宋体" w:cs="宋体"/>
          <w:color w:val="auto"/>
          <w:sz w:val="28"/>
          <w:szCs w:val="28"/>
          <w:lang w:val="en-US" w:eastAsia="zh-CN"/>
        </w:rPr>
      </w:pPr>
      <w:r>
        <w:rPr>
          <w:rFonts w:hint="eastAsia" w:hAnsi="宋体" w:cs="宋体"/>
          <w:color w:val="auto"/>
          <w:sz w:val="28"/>
          <w:szCs w:val="28"/>
          <w:lang w:val="en-US" w:eastAsia="zh-CN"/>
        </w:rPr>
        <w:t>16、钢管、盘扣为甲供材，根据工程需要每栋单体最多提供三套，乙方在使用期间有义务进行保护，使用完成后应按质按量退还给甲方，否则甲方有权对相关丢失、维保费用向乙方索赔，乙方不得以任何理由拒绝。</w:t>
      </w:r>
      <w:r>
        <w:rPr>
          <w:rFonts w:hint="eastAsia"/>
          <w:color w:val="auto"/>
          <w:lang w:val="en-US" w:eastAsia="zh-CN"/>
        </w:rPr>
        <w:t xml:space="preserve">                                                                          </w:t>
      </w:r>
    </w:p>
    <w:p w14:paraId="1000C884">
      <w:pPr>
        <w:keepNext w:val="0"/>
        <w:keepLines w:val="0"/>
        <w:pageBreakBefore w:val="0"/>
        <w:widowControl w:val="0"/>
        <w:numPr>
          <w:ilvl w:val="0"/>
          <w:numId w:val="0"/>
        </w:numPr>
        <w:kinsoku/>
        <w:wordWrap/>
        <w:overflowPunct/>
        <w:topLinePunct w:val="0"/>
        <w:autoSpaceDE/>
        <w:autoSpaceDN/>
        <w:bidi w:val="0"/>
        <w:snapToGrid w:val="0"/>
        <w:spacing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lang w:val="en-US" w:eastAsia="zh-CN"/>
        </w:rPr>
        <w:t>17、</w:t>
      </w:r>
      <w:r>
        <w:rPr>
          <w:rFonts w:hint="eastAsia" w:ascii="宋体" w:hAnsi="宋体" w:eastAsia="宋体" w:cs="宋体"/>
          <w:color w:val="auto"/>
          <w:sz w:val="28"/>
          <w:szCs w:val="28"/>
        </w:rPr>
        <w:t>招标人仅在塔吊覆盖范围内提供等机械设备的垂直运输，场内水平运输及二次搬运等由投标人自行考虑。</w:t>
      </w:r>
    </w:p>
    <w:p w14:paraId="0919332B">
      <w:pPr>
        <w:keepNext w:val="0"/>
        <w:keepLines w:val="0"/>
        <w:pageBreakBefore w:val="0"/>
        <w:widowControl w:val="0"/>
        <w:numPr>
          <w:ilvl w:val="0"/>
          <w:numId w:val="0"/>
        </w:numPr>
        <w:kinsoku/>
        <w:wordWrap/>
        <w:overflowPunct/>
        <w:topLinePunct w:val="0"/>
        <w:autoSpaceDE/>
        <w:autoSpaceDN/>
        <w:bidi w:val="0"/>
        <w:snapToGrid w:val="0"/>
        <w:spacing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highlight w:val="yellow"/>
          <w:lang w:val="en-US" w:eastAsia="zh-CN"/>
        </w:rPr>
        <w:t>18、</w:t>
      </w:r>
      <w:r>
        <w:rPr>
          <w:rFonts w:hint="eastAsia" w:ascii="宋体" w:hAnsi="宋体" w:eastAsia="宋体" w:cs="宋体"/>
          <w:color w:val="auto"/>
          <w:sz w:val="28"/>
          <w:szCs w:val="28"/>
          <w:highlight w:val="yellow"/>
        </w:rPr>
        <w:t>后浇带采用</w:t>
      </w:r>
      <w:r>
        <w:rPr>
          <w:rFonts w:hint="eastAsia" w:hAnsi="宋体" w:cs="宋体"/>
          <w:color w:val="auto"/>
          <w:sz w:val="28"/>
          <w:szCs w:val="28"/>
          <w:highlight w:val="yellow"/>
          <w:lang w:val="en-US" w:eastAsia="zh-CN"/>
        </w:rPr>
        <w:t>镀锌</w:t>
      </w:r>
      <w:r>
        <w:rPr>
          <w:rFonts w:hint="eastAsia" w:ascii="宋体" w:hAnsi="宋体" w:eastAsia="宋体" w:cs="宋体"/>
          <w:color w:val="auto"/>
          <w:sz w:val="28"/>
          <w:szCs w:val="28"/>
          <w:highlight w:val="yellow"/>
        </w:rPr>
        <w:t>快易收口网（</w:t>
      </w:r>
      <w:r>
        <w:rPr>
          <w:rFonts w:hint="eastAsia" w:hAnsi="宋体" w:cs="宋体"/>
          <w:color w:val="auto"/>
          <w:sz w:val="28"/>
          <w:szCs w:val="28"/>
          <w:highlight w:val="yellow"/>
          <w:lang w:val="en-US" w:eastAsia="zh-CN"/>
        </w:rPr>
        <w:t>鱼鳞网</w:t>
      </w:r>
      <w:r>
        <w:rPr>
          <w:rFonts w:hint="eastAsia" w:ascii="宋体" w:hAnsi="宋体" w:eastAsia="宋体" w:cs="宋体"/>
          <w:color w:val="auto"/>
          <w:sz w:val="28"/>
          <w:szCs w:val="28"/>
          <w:highlight w:val="yellow"/>
        </w:rPr>
        <w:t>），费用包含在综合单价中。</w:t>
      </w:r>
      <w:r>
        <w:rPr>
          <w:rFonts w:hint="eastAsia" w:ascii="宋体" w:hAnsi="宋体" w:eastAsia="宋体" w:cs="宋体"/>
          <w:color w:val="auto"/>
          <w:sz w:val="28"/>
          <w:szCs w:val="28"/>
        </w:rPr>
        <w:t>后浇带务必保证符合规范要求，若产生漏浆清錾，由乙方自行处理，乙方不得要求增补费用。</w:t>
      </w:r>
    </w:p>
    <w:p w14:paraId="26CCA97A">
      <w:pPr>
        <w:keepNext w:val="0"/>
        <w:keepLines w:val="0"/>
        <w:pageBreakBefore w:val="0"/>
        <w:widowControl w:val="0"/>
        <w:numPr>
          <w:ilvl w:val="0"/>
          <w:numId w:val="0"/>
        </w:numPr>
        <w:kinsoku/>
        <w:wordWrap/>
        <w:overflowPunct/>
        <w:topLinePunct w:val="0"/>
        <w:autoSpaceDE/>
        <w:autoSpaceDN/>
        <w:bidi w:val="0"/>
        <w:snapToGrid w:val="0"/>
        <w:spacing w:line="240" w:lineRule="auto"/>
        <w:ind w:firstLine="560" w:firstLineChars="200"/>
        <w:jc w:val="both"/>
        <w:textAlignment w:val="auto"/>
        <w:rPr>
          <w:rFonts w:hint="eastAsia" w:ascii="宋体" w:hAnsi="宋体" w:eastAsia="宋体" w:cs="宋体"/>
          <w:color w:val="auto"/>
          <w:sz w:val="28"/>
          <w:szCs w:val="28"/>
        </w:rPr>
      </w:pPr>
      <w:r>
        <w:rPr>
          <w:rFonts w:hint="eastAsia" w:hAnsi="宋体" w:cs="宋体"/>
          <w:color w:val="auto"/>
          <w:sz w:val="28"/>
          <w:szCs w:val="28"/>
          <w:lang w:val="en-US" w:eastAsia="zh-CN"/>
        </w:rPr>
        <w:t>19、</w:t>
      </w:r>
      <w:r>
        <w:rPr>
          <w:rFonts w:hint="eastAsia" w:ascii="宋体" w:hAnsi="宋体" w:eastAsia="宋体" w:cs="宋体"/>
          <w:color w:val="auto"/>
          <w:sz w:val="28"/>
          <w:szCs w:val="28"/>
        </w:rPr>
        <w:t>设备基础及现场临设所涉及的所有施工内容均按合同单价计算，不另加计日工。涉及合同外工程完成后两日内完成计量，过期自行承担。</w:t>
      </w:r>
    </w:p>
    <w:p w14:paraId="148E7149">
      <w:pPr>
        <w:keepNext w:val="0"/>
        <w:keepLines w:val="0"/>
        <w:pageBreakBefore w:val="0"/>
        <w:widowControl w:val="0"/>
        <w:numPr>
          <w:ilvl w:val="0"/>
          <w:numId w:val="0"/>
        </w:numPr>
        <w:kinsoku/>
        <w:wordWrap/>
        <w:overflowPunct/>
        <w:topLinePunct w:val="0"/>
        <w:autoSpaceDE/>
        <w:autoSpaceDN/>
        <w:bidi w:val="0"/>
        <w:snapToGrid w:val="0"/>
        <w:spacing w:line="240" w:lineRule="auto"/>
        <w:ind w:firstLine="560" w:firstLineChars="200"/>
        <w:jc w:val="both"/>
        <w:textAlignment w:val="auto"/>
        <w:rPr>
          <w:rFonts w:hint="eastAsia" w:ascii="宋体" w:hAnsi="宋体" w:eastAsia="宋体" w:cs="宋体"/>
          <w:color w:val="auto"/>
          <w:sz w:val="28"/>
          <w:szCs w:val="28"/>
        </w:rPr>
      </w:pPr>
      <w:r>
        <w:rPr>
          <w:rFonts w:hint="eastAsia" w:hAnsi="宋体" w:cs="宋体"/>
          <w:color w:val="auto"/>
          <w:sz w:val="28"/>
          <w:szCs w:val="28"/>
          <w:lang w:val="en-US" w:eastAsia="zh-CN"/>
        </w:rPr>
        <w:t>20、</w:t>
      </w:r>
      <w:r>
        <w:rPr>
          <w:rFonts w:hint="eastAsia" w:ascii="宋体" w:hAnsi="宋体" w:eastAsia="宋体" w:cs="宋体"/>
          <w:color w:val="auto"/>
          <w:sz w:val="28"/>
          <w:szCs w:val="28"/>
        </w:rPr>
        <w:t>以上各分项工程单价包含定额规定的工作内容及特殊注明的工作内容。分包方进场时提供劳务人员花名册，实名制系统录入，进行三级安全教育。劳务人员工资发放按实名制考勤信息。分包方需派驻现场专职安全员，购买</w:t>
      </w:r>
      <w:r>
        <w:rPr>
          <w:rFonts w:hint="eastAsia" w:hAnsi="宋体" w:cs="宋体"/>
          <w:color w:val="auto"/>
          <w:sz w:val="28"/>
          <w:szCs w:val="28"/>
          <w:lang w:val="en-US" w:eastAsia="zh-CN"/>
        </w:rPr>
        <w:t>商业</w:t>
      </w:r>
      <w:r>
        <w:rPr>
          <w:rFonts w:hint="eastAsia" w:ascii="宋体" w:hAnsi="宋体" w:eastAsia="宋体" w:cs="宋体"/>
          <w:color w:val="auto"/>
          <w:sz w:val="28"/>
          <w:szCs w:val="28"/>
        </w:rPr>
        <w:t>意外伤害保险。</w:t>
      </w:r>
    </w:p>
    <w:p w14:paraId="6309D1A6">
      <w:pPr>
        <w:keepNext w:val="0"/>
        <w:keepLines w:val="0"/>
        <w:pageBreakBefore w:val="0"/>
        <w:widowControl w:val="0"/>
        <w:numPr>
          <w:ilvl w:val="0"/>
          <w:numId w:val="0"/>
        </w:numPr>
        <w:kinsoku/>
        <w:wordWrap/>
        <w:overflowPunct/>
        <w:topLinePunct w:val="0"/>
        <w:autoSpaceDE/>
        <w:autoSpaceDN/>
        <w:bidi w:val="0"/>
        <w:spacing w:line="240" w:lineRule="auto"/>
        <w:ind w:firstLine="560" w:firstLineChars="200"/>
        <w:jc w:val="both"/>
        <w:textAlignment w:val="auto"/>
        <w:rPr>
          <w:rFonts w:hint="eastAsia" w:ascii="宋体" w:hAnsi="宋体" w:eastAsia="宋体" w:cs="宋体"/>
          <w:color w:val="auto"/>
          <w:sz w:val="28"/>
          <w:szCs w:val="28"/>
          <w:highlight w:val="yellow"/>
          <w:lang w:val="en-US" w:eastAsia="zh-CN"/>
        </w:rPr>
      </w:pPr>
      <w:r>
        <w:rPr>
          <w:rFonts w:hint="eastAsia" w:cs="宋体"/>
          <w:color w:val="auto"/>
          <w:sz w:val="28"/>
          <w:szCs w:val="28"/>
          <w:lang w:val="en-US" w:eastAsia="zh-CN"/>
        </w:rPr>
        <w:t>21、</w:t>
      </w:r>
      <w:r>
        <w:rPr>
          <w:rFonts w:hint="eastAsia" w:ascii="宋体" w:hAnsi="宋体" w:eastAsia="宋体" w:cs="宋体"/>
          <w:color w:val="auto"/>
          <w:sz w:val="28"/>
          <w:szCs w:val="28"/>
        </w:rPr>
        <w:t>图纸及变更中所有一次及二次结构模板配置、安装及拆除。木模制作、安装、拆除、支架安拆、木方使用前刨光、取直，刷脱模剂，材料回收整理、按指定位置堆码，砼浇注时模板看护及拆模后清理、归堆；包括但不限于支撑及内脚手架搭拆（盘扣架支撑体系）、对拉螺栓及其套管</w:t>
      </w:r>
      <w:r>
        <w:rPr>
          <w:rFonts w:hint="eastAsia" w:ascii="宋体" w:hAnsi="宋体" w:eastAsia="宋体" w:cs="宋体"/>
          <w:color w:val="auto"/>
          <w:sz w:val="28"/>
          <w:szCs w:val="28"/>
          <w:lang w:val="en-US" w:eastAsia="zh-CN"/>
        </w:rPr>
        <w:t>制安与拆除、清理</w:t>
      </w:r>
      <w:r>
        <w:rPr>
          <w:rFonts w:hint="eastAsia" w:ascii="宋体" w:hAnsi="宋体" w:eastAsia="宋体" w:cs="宋体"/>
          <w:color w:val="auto"/>
          <w:sz w:val="28"/>
          <w:szCs w:val="28"/>
        </w:rPr>
        <w:t>（含对拉螺栓、套管的材料费及制作费</w:t>
      </w:r>
      <w:r>
        <w:rPr>
          <w:rFonts w:hint="eastAsia" w:cs="宋体"/>
          <w:color w:val="auto"/>
          <w:sz w:val="28"/>
          <w:szCs w:val="28"/>
          <w:lang w:eastAsia="zh-CN"/>
        </w:rPr>
        <w:t>）。</w:t>
      </w:r>
      <w:r>
        <w:rPr>
          <w:rFonts w:hint="eastAsia" w:ascii="宋体" w:hAnsi="宋体" w:eastAsia="宋体" w:cs="宋体"/>
          <w:color w:val="auto"/>
          <w:sz w:val="28"/>
          <w:szCs w:val="28"/>
        </w:rPr>
        <w:t>模板表面涂刷隔离剂（隔离剂由投标人自行负责）。木工加工棚的搭拆及更换场地</w:t>
      </w:r>
      <w:r>
        <w:rPr>
          <w:rFonts w:hint="eastAsia" w:cs="宋体"/>
          <w:color w:val="auto"/>
          <w:sz w:val="28"/>
          <w:szCs w:val="28"/>
          <w:lang w:val="en-US" w:eastAsia="zh-CN"/>
        </w:rPr>
        <w:t>，提供各类防护棚顶部防护所需模板（如配电箱、钢筋棚、设备棚等）</w:t>
      </w:r>
      <w:r>
        <w:rPr>
          <w:rFonts w:hint="eastAsia" w:ascii="宋体" w:hAnsi="宋体" w:eastAsia="宋体" w:cs="宋体"/>
          <w:color w:val="auto"/>
          <w:sz w:val="28"/>
          <w:szCs w:val="28"/>
        </w:rPr>
        <w:t>。木胶板、木方</w:t>
      </w:r>
      <w:r>
        <w:rPr>
          <w:rFonts w:hint="eastAsia" w:cs="宋体"/>
          <w:color w:val="auto"/>
          <w:sz w:val="28"/>
          <w:szCs w:val="28"/>
          <w:lang w:eastAsia="zh-CN"/>
        </w:rPr>
        <w:t>、</w:t>
      </w:r>
      <w:r>
        <w:rPr>
          <w:rFonts w:hint="eastAsia" w:cs="宋体"/>
          <w:color w:val="auto"/>
          <w:sz w:val="28"/>
          <w:szCs w:val="28"/>
          <w:lang w:val="en-US" w:eastAsia="zh-CN"/>
        </w:rPr>
        <w:t>钢背楞、方圆扣</w:t>
      </w:r>
      <w:r>
        <w:rPr>
          <w:rFonts w:hint="eastAsia" w:ascii="宋体" w:hAnsi="宋体" w:eastAsia="宋体" w:cs="宋体"/>
          <w:color w:val="auto"/>
          <w:sz w:val="28"/>
          <w:szCs w:val="28"/>
        </w:rPr>
        <w:t>、钢管支撑、柱箍等材料进场卸车、出场装车及倒运归码由投标人承担</w:t>
      </w:r>
      <w:r>
        <w:rPr>
          <w:rFonts w:hint="eastAsia" w:cs="宋体"/>
          <w:color w:val="auto"/>
          <w:sz w:val="28"/>
          <w:szCs w:val="28"/>
          <w:lang w:eastAsia="zh-CN"/>
        </w:rPr>
        <w:t>。</w:t>
      </w:r>
      <w:r>
        <w:rPr>
          <w:rFonts w:hint="eastAsia" w:cs="宋体"/>
          <w:color w:val="auto"/>
          <w:sz w:val="28"/>
          <w:szCs w:val="28"/>
          <w:lang w:val="en-US" w:eastAsia="zh-CN"/>
        </w:rPr>
        <w:t>综合单价组成中含文明施工费为固定价，</w:t>
      </w:r>
      <w:r>
        <w:rPr>
          <w:rFonts w:hint="eastAsia" w:ascii="宋体" w:hAnsi="宋体" w:eastAsia="宋体" w:cs="宋体"/>
          <w:color w:val="auto"/>
          <w:sz w:val="28"/>
          <w:szCs w:val="28"/>
        </w:rPr>
        <w:t>投标人施工中，材料要堆放整齐，搞好文明施工</w:t>
      </w:r>
      <w:r>
        <w:rPr>
          <w:rFonts w:hint="eastAsia" w:cs="宋体"/>
          <w:color w:val="auto"/>
          <w:sz w:val="28"/>
          <w:szCs w:val="28"/>
          <w:lang w:eastAsia="zh-CN"/>
        </w:rPr>
        <w:t>，</w:t>
      </w:r>
      <w:r>
        <w:rPr>
          <w:rFonts w:hint="eastAsia" w:ascii="宋体" w:hAnsi="宋体" w:eastAsia="宋体" w:cs="宋体"/>
          <w:color w:val="auto"/>
          <w:sz w:val="28"/>
          <w:szCs w:val="28"/>
        </w:rPr>
        <w:t>木工料场须时刻保持干净整洁，材料的卸货、堆放及退场需按照甲方要求码放至指定地点，钢管扣件等甲供材乙方在使用完后务必按照甲方要求码放至指定地点；木工料场的周转，乙方所报单价包含木工料场的两次以内（含两次）周转费用</w:t>
      </w:r>
      <w:r>
        <w:rPr>
          <w:rFonts w:hint="eastAsia" w:ascii="宋体" w:hAnsi="宋体" w:eastAsia="宋体" w:cs="宋体"/>
          <w:color w:val="auto"/>
          <w:sz w:val="28"/>
          <w:szCs w:val="28"/>
          <w:lang w:eastAsia="zh-CN"/>
        </w:rPr>
        <w:t>，</w:t>
      </w:r>
      <w:r>
        <w:rPr>
          <w:rFonts w:hint="eastAsia" w:ascii="宋体" w:hAnsi="宋体" w:eastAsia="宋体" w:cs="宋体"/>
          <w:color w:val="auto"/>
          <w:sz w:val="28"/>
          <w:szCs w:val="28"/>
        </w:rPr>
        <w:t>模板拆除后要及时起钉、修整、按不同规格堆放整齐。否则项目部有权指派人员负责整理，</w:t>
      </w:r>
      <w:r>
        <w:rPr>
          <w:rFonts w:hint="eastAsia" w:hAnsi="宋体" w:cs="宋体"/>
          <w:color w:val="auto"/>
          <w:sz w:val="28"/>
          <w:szCs w:val="28"/>
          <w:lang w:val="en-US" w:eastAsia="zh-CN"/>
        </w:rPr>
        <w:t>直接从文明施工费中扣除，不足部分</w:t>
      </w:r>
      <w:r>
        <w:rPr>
          <w:rFonts w:hint="eastAsia" w:ascii="宋体" w:hAnsi="宋体" w:eastAsia="宋体" w:cs="宋体"/>
          <w:color w:val="auto"/>
          <w:sz w:val="28"/>
          <w:szCs w:val="28"/>
        </w:rPr>
        <w:t>所用工日按实际耗用工日的1.5倍从投标人中扣除。</w:t>
      </w:r>
      <w:r>
        <w:rPr>
          <w:rFonts w:hint="eastAsia" w:hAnsi="宋体" w:cs="宋体"/>
          <w:color w:val="auto"/>
          <w:sz w:val="28"/>
          <w:szCs w:val="28"/>
          <w:lang w:val="en-US" w:eastAsia="zh-CN"/>
        </w:rPr>
        <w:t>包括放线孔的预留、防护及吊模，机房工字钢洞口及塔吊附墙穿梁预留木盒的制作与安拆图纸及变更中所有一次及二次结构模板配置、安装及拆除。木模制作、安装、拆除、支架安拆、木方使用前刨光、取直，刷脱模剂，材料回收整理、按指定位置堆码。模板表面涂刷隔离剂（隔离剂由投标人自行负责）。（2）二次结构构造柱马牙槎须贴双面胶后期清除（分包自购），每处罚款50元，剪力墙下口预留固定件支模。因二次结构施工拆除连墙件未及时恢复得，一次罚款1000元；构造柱上口必须预留簸箕口，严禁使用步步紧固定，必须采用穿墙螺杆。（3）二次结构支撑采用卡箍加固，间距≤500mm；卧粱侧模上下口采用 50mm*100mm 方木；下口采用双面胶封堵缝隙，防止漏浆</w:t>
      </w:r>
      <w:r>
        <w:rPr>
          <w:rFonts w:hint="eastAsia" w:ascii="宋体" w:hAnsi="宋体" w:eastAsia="宋体" w:cs="宋体"/>
          <w:color w:val="auto"/>
          <w:sz w:val="28"/>
          <w:szCs w:val="28"/>
        </w:rPr>
        <w:t>。</w:t>
      </w:r>
      <w:r>
        <w:rPr>
          <w:rFonts w:hint="eastAsia" w:ascii="宋体" w:hAnsi="宋体" w:eastAsia="宋体" w:cs="宋体"/>
          <w:color w:val="auto"/>
          <w:sz w:val="28"/>
          <w:szCs w:val="28"/>
          <w:highlight w:val="yellow"/>
          <w:lang w:val="en-US" w:eastAsia="zh-CN"/>
        </w:rPr>
        <w:t>外架班组提供的钢管不</w:t>
      </w:r>
      <w:r>
        <w:rPr>
          <w:rFonts w:hint="eastAsia" w:cs="宋体"/>
          <w:color w:val="auto"/>
          <w:sz w:val="28"/>
          <w:szCs w:val="28"/>
          <w:highlight w:val="yellow"/>
          <w:lang w:val="en-US" w:eastAsia="zh-CN"/>
        </w:rPr>
        <w:t>得随意</w:t>
      </w:r>
      <w:r>
        <w:rPr>
          <w:rFonts w:hint="eastAsia" w:ascii="宋体" w:hAnsi="宋体" w:eastAsia="宋体" w:cs="宋体"/>
          <w:color w:val="auto"/>
          <w:sz w:val="28"/>
          <w:szCs w:val="28"/>
          <w:highlight w:val="yellow"/>
          <w:lang w:val="en-US" w:eastAsia="zh-CN"/>
        </w:rPr>
        <w:t>切割</w:t>
      </w:r>
      <w:r>
        <w:rPr>
          <w:rFonts w:hint="eastAsia" w:cs="宋体"/>
          <w:color w:val="auto"/>
          <w:sz w:val="28"/>
          <w:szCs w:val="28"/>
          <w:highlight w:val="yellow"/>
          <w:lang w:val="en-US" w:eastAsia="zh-CN"/>
        </w:rPr>
        <w:t>，扣件的螺帽损耗率不大于30%。</w:t>
      </w:r>
    </w:p>
    <w:p w14:paraId="460DD1E1">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22、</w:t>
      </w:r>
      <w:r>
        <w:rPr>
          <w:rFonts w:hint="eastAsia" w:ascii="宋体" w:hAnsi="宋体" w:eastAsia="宋体" w:cs="宋体"/>
          <w:color w:val="auto"/>
          <w:sz w:val="28"/>
          <w:szCs w:val="28"/>
        </w:rPr>
        <w:t>模板制作包工包料（除支撑体系所用的钢管</w:t>
      </w:r>
      <w:r>
        <w:rPr>
          <w:rFonts w:hint="eastAsia" w:cs="宋体"/>
          <w:color w:val="auto"/>
          <w:sz w:val="28"/>
          <w:szCs w:val="28"/>
          <w:lang w:eastAsia="zh-CN"/>
        </w:rPr>
        <w:t>、</w:t>
      </w:r>
      <w:r>
        <w:rPr>
          <w:rFonts w:hint="eastAsia" w:cs="宋体"/>
          <w:color w:val="auto"/>
          <w:sz w:val="28"/>
          <w:szCs w:val="28"/>
          <w:lang w:val="en-US" w:eastAsia="zh-CN"/>
        </w:rPr>
        <w:t>盘扣</w:t>
      </w:r>
      <w:r>
        <w:rPr>
          <w:rFonts w:hint="eastAsia" w:ascii="宋体" w:hAnsi="宋体" w:eastAsia="宋体" w:cs="宋体"/>
          <w:color w:val="auto"/>
          <w:sz w:val="28"/>
          <w:szCs w:val="28"/>
        </w:rPr>
        <w:t>、扣件、顶托、底托</w:t>
      </w:r>
      <w:r>
        <w:rPr>
          <w:rFonts w:hint="eastAsia" w:ascii="宋体" w:hAnsi="宋体" w:eastAsia="宋体" w:cs="宋体"/>
          <w:color w:val="auto"/>
          <w:sz w:val="28"/>
          <w:szCs w:val="28"/>
          <w:lang w:val="en-US" w:eastAsia="zh-CN"/>
        </w:rPr>
        <w:t>外</w:t>
      </w:r>
      <w:r>
        <w:rPr>
          <w:rFonts w:hint="eastAsia" w:ascii="宋体" w:hAnsi="宋体" w:eastAsia="宋体" w:cs="宋体"/>
          <w:color w:val="auto"/>
          <w:sz w:val="28"/>
          <w:szCs w:val="28"/>
        </w:rPr>
        <w:t>均由投标人为提供，如发生丢失、损坏，中标人承担赔偿责任），本工程工期紧、任务重，质量要求为“黄山杯”，中标人须配备足够的模板，如不能满足结构外观要求，必须及时更换新模板。物料提升机、</w:t>
      </w:r>
      <w:r>
        <w:rPr>
          <w:rFonts w:hint="eastAsia" w:cs="宋体"/>
          <w:color w:val="auto"/>
          <w:sz w:val="28"/>
          <w:szCs w:val="28"/>
          <w:lang w:val="en-US" w:eastAsia="zh-CN"/>
        </w:rPr>
        <w:t>人货电梯的</w:t>
      </w:r>
      <w:r>
        <w:rPr>
          <w:rFonts w:hint="eastAsia" w:ascii="宋体" w:hAnsi="宋体" w:eastAsia="宋体" w:cs="宋体"/>
          <w:color w:val="auto"/>
          <w:sz w:val="28"/>
          <w:szCs w:val="28"/>
        </w:rPr>
        <w:t>接料平台及四周硬木防护、塔吊休息平台及通道的硬木防护、物料提升机驾驶员操作棚硬木防护、施工电梯及物料提升机入楼层处通道硬木铺设、砂浆罐、水泥罐硬木防护等、后浇带模板支撑独立系统。</w:t>
      </w:r>
    </w:p>
    <w:p w14:paraId="30B892E3">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lang w:val="en-US" w:eastAsia="zh-CN"/>
        </w:rPr>
        <w:t>23、</w:t>
      </w:r>
      <w:r>
        <w:rPr>
          <w:rFonts w:hint="eastAsia" w:ascii="宋体" w:hAnsi="宋体" w:eastAsia="宋体" w:cs="宋体"/>
          <w:color w:val="auto"/>
          <w:sz w:val="28"/>
          <w:szCs w:val="28"/>
        </w:rPr>
        <w:t>劳务分包人承担劳保用品、安全施工防护用品、统一生活用品的所有费用，包含但不限于以下施工用劳保用品：配备统一的安全帽、安全带、工作服、雨衣、雨鞋、安全背心、胶手套、绝缘手套、胸卡、床单和被罩、空调等。施工中用的辅材：螺杆山形卡、套管、钉子、铁丝、扎丝、黄胶带、穿墙套管、水管、墨汁、墨斗、铅笔、粉笔、石笔、皮尺、长毛刷、线坠、线绳、砂轮片、锯条、切割片、角磨机、锯片、刀片、脱模剂及本工程所需的任何辅材等。施工中的小型机械及手头工具：电刨、平刨、压刨、电锯及移动配电箱后的电线电缆、手提电锯、手提电刨、手提电钻、手提小吹风机、角磨机、榔头、扳子、钉锤、手锯、螺丝刀、大小钢尺、线锤、水平管、手钳、手电筒、太阳灯、测量设备等。</w:t>
      </w:r>
    </w:p>
    <w:p w14:paraId="65BD602D">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lang w:val="en-US" w:eastAsia="zh-CN"/>
        </w:rPr>
        <w:t>24、</w:t>
      </w:r>
      <w:r>
        <w:rPr>
          <w:rFonts w:hint="eastAsia" w:ascii="宋体" w:hAnsi="宋体" w:eastAsia="宋体" w:cs="宋体"/>
          <w:color w:val="auto"/>
          <w:sz w:val="28"/>
          <w:szCs w:val="28"/>
        </w:rPr>
        <w:t>项目部按施工段对混凝土成形质量进行实测实量，连续两施工段验收结果为不合格，招标人将加倍对中标人处罚。当连续三个施工段验收不合格时，招标人有权单方终止合同，并只支付中标人已完工程量的60%作为最终结算价，由中标人承担因此给招标人造成的所有损失。</w:t>
      </w:r>
    </w:p>
    <w:p w14:paraId="3A384839">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lang w:val="en-US" w:eastAsia="zh-CN"/>
        </w:rPr>
        <w:t>25、</w:t>
      </w:r>
      <w:r>
        <w:rPr>
          <w:rFonts w:hint="eastAsia" w:ascii="宋体" w:hAnsi="宋体" w:eastAsia="宋体" w:cs="宋体"/>
          <w:color w:val="auto"/>
          <w:sz w:val="28"/>
          <w:szCs w:val="28"/>
        </w:rPr>
        <w:t>所有木工垃圾由中标人清运并归堆至招标人指定地点，招标人负责垃圾外运。</w:t>
      </w:r>
    </w:p>
    <w:p w14:paraId="781B9352">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lang w:val="en-US" w:eastAsia="zh-CN"/>
        </w:rPr>
      </w:pPr>
      <w:r>
        <w:rPr>
          <w:rFonts w:hint="eastAsia" w:cs="宋体"/>
          <w:color w:val="auto"/>
          <w:sz w:val="28"/>
          <w:szCs w:val="28"/>
          <w:lang w:val="en-US" w:eastAsia="zh-CN"/>
        </w:rPr>
        <w:t>26、施工升降机</w:t>
      </w:r>
      <w:r>
        <w:rPr>
          <w:rFonts w:hint="eastAsia" w:ascii="宋体" w:hAnsi="宋体" w:eastAsia="宋体" w:cs="宋体"/>
          <w:color w:val="auto"/>
          <w:sz w:val="28"/>
          <w:szCs w:val="28"/>
          <w:lang w:val="en-US" w:eastAsia="zh-CN"/>
        </w:rPr>
        <w:t>料台口、接料平台、悬挑层四周封堵需服从项目部要求，具体标准：1）料台口封堵需上下整齐划一；2）封堵后模板需平整，不得翘曲；3）接料平台模板封堵需固定牢固，不得随意铺设；4）悬挑层封堵穿钢管处缝隙不得大于1CM，封堵模板宽度一致，封堵成型后不得大小不一</w:t>
      </w:r>
      <w:r>
        <w:rPr>
          <w:rFonts w:hint="eastAsia" w:cs="宋体"/>
          <w:color w:val="auto"/>
          <w:sz w:val="28"/>
          <w:szCs w:val="28"/>
          <w:lang w:val="en-US" w:eastAsia="zh-CN"/>
        </w:rPr>
        <w:t>。</w:t>
      </w:r>
      <w:r>
        <w:rPr>
          <w:rFonts w:hint="eastAsia" w:ascii="宋体" w:hAnsi="宋体" w:eastAsia="宋体" w:cs="宋体"/>
          <w:color w:val="auto"/>
          <w:sz w:val="28"/>
          <w:szCs w:val="28"/>
          <w:lang w:val="en-US" w:eastAsia="zh-CN"/>
        </w:rPr>
        <w:t>如不按项目部要求施工则按建筑面积5元/M2扣除，如施工不符合项目部标准要求则按建筑面积3元/M2扣除。</w:t>
      </w:r>
    </w:p>
    <w:p w14:paraId="5FB15B86">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27、</w:t>
      </w:r>
      <w:r>
        <w:rPr>
          <w:rFonts w:hint="eastAsia" w:ascii="宋体" w:hAnsi="宋体" w:eastAsia="宋体" w:cs="宋体"/>
          <w:color w:val="auto"/>
          <w:sz w:val="28"/>
          <w:szCs w:val="28"/>
        </w:rPr>
        <w:t>木工工作详细说明：</w:t>
      </w:r>
    </w:p>
    <w:p w14:paraId="64F4D3AC">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27.1.</w:t>
      </w:r>
      <w:r>
        <w:rPr>
          <w:rFonts w:hint="eastAsia" w:ascii="宋体" w:hAnsi="宋体" w:eastAsia="宋体" w:cs="宋体"/>
          <w:color w:val="auto"/>
          <w:sz w:val="28"/>
          <w:szCs w:val="28"/>
        </w:rPr>
        <w:t>模板制作、安装及拆除，方木安装及拆除；模板的清理、起钉、刷隔离剂；拆除后模板方木按规定位置整齐存放。</w:t>
      </w:r>
    </w:p>
    <w:p w14:paraId="69BADEAE">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27.</w:t>
      </w:r>
      <w:r>
        <w:rPr>
          <w:rFonts w:hint="eastAsia" w:ascii="宋体" w:hAnsi="宋体" w:eastAsia="宋体" w:cs="宋体"/>
          <w:color w:val="auto"/>
          <w:sz w:val="28"/>
          <w:szCs w:val="28"/>
        </w:rPr>
        <w:t>2．模板钢管支撑系统搭设、加固和拆除；拆除后钢管、扣件、柱箍等按规定位置存放，并对扣件进行保养。</w:t>
      </w:r>
    </w:p>
    <w:p w14:paraId="45886F15">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27.</w:t>
      </w:r>
      <w:r>
        <w:rPr>
          <w:rFonts w:hint="eastAsia" w:ascii="宋体" w:hAnsi="宋体" w:eastAsia="宋体" w:cs="宋体"/>
          <w:color w:val="auto"/>
          <w:sz w:val="28"/>
          <w:szCs w:val="28"/>
        </w:rPr>
        <w:t>3．方木、模板等原材料的卸车及所需材料的搬运，按招标人指定位置分类堆放。</w:t>
      </w:r>
    </w:p>
    <w:p w14:paraId="00011B36">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27.</w:t>
      </w:r>
      <w:r>
        <w:rPr>
          <w:rFonts w:hint="eastAsia" w:ascii="宋体" w:hAnsi="宋体" w:eastAsia="宋体" w:cs="宋体"/>
          <w:color w:val="auto"/>
          <w:sz w:val="28"/>
          <w:szCs w:val="28"/>
        </w:rPr>
        <w:t>4．预留洞口及后浇带施工的吊模，柱剪力墙根部模板缝隙为防止烂根用木条封堵。</w:t>
      </w:r>
    </w:p>
    <w:p w14:paraId="66C3C29C">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27.</w:t>
      </w:r>
      <w:r>
        <w:rPr>
          <w:rFonts w:hint="eastAsia" w:ascii="宋体" w:hAnsi="宋体" w:eastAsia="宋体" w:cs="宋体"/>
          <w:color w:val="auto"/>
          <w:sz w:val="28"/>
          <w:szCs w:val="28"/>
        </w:rPr>
        <w:t>5．现场施工范围内的材料搬运、地库施工时无塔吊配合的材料搬运。</w:t>
      </w:r>
    </w:p>
    <w:p w14:paraId="652CB89B">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27.</w:t>
      </w:r>
      <w:r>
        <w:rPr>
          <w:rFonts w:hint="eastAsia" w:ascii="宋体" w:hAnsi="宋体" w:eastAsia="宋体" w:cs="宋体"/>
          <w:color w:val="auto"/>
          <w:sz w:val="28"/>
          <w:szCs w:val="28"/>
        </w:rPr>
        <w:t>6．预埋铁件的安放；</w:t>
      </w:r>
    </w:p>
    <w:p w14:paraId="47C465F2">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default" w:ascii="宋体" w:hAnsi="宋体" w:eastAsia="宋体" w:cs="宋体"/>
          <w:color w:val="auto"/>
          <w:sz w:val="28"/>
          <w:szCs w:val="28"/>
          <w:lang w:val="en-US" w:eastAsia="zh-CN"/>
        </w:rPr>
      </w:pPr>
      <w:r>
        <w:rPr>
          <w:rFonts w:hint="eastAsia" w:cs="宋体"/>
          <w:color w:val="auto"/>
          <w:sz w:val="28"/>
          <w:szCs w:val="28"/>
          <w:lang w:val="en-US" w:eastAsia="zh-CN"/>
        </w:rPr>
        <w:t>27.</w:t>
      </w:r>
      <w:r>
        <w:rPr>
          <w:rFonts w:hint="eastAsia" w:ascii="宋体" w:hAnsi="宋体" w:eastAsia="宋体" w:cs="宋体"/>
          <w:color w:val="auto"/>
          <w:sz w:val="28"/>
          <w:szCs w:val="28"/>
        </w:rPr>
        <w:t>7．模板拆除后楼层内的打扫；</w:t>
      </w:r>
      <w:r>
        <w:rPr>
          <w:rFonts w:hint="eastAsia" w:cs="宋体"/>
          <w:color w:val="auto"/>
          <w:sz w:val="28"/>
          <w:szCs w:val="28"/>
          <w:lang w:val="en-US" w:eastAsia="zh-CN"/>
        </w:rPr>
        <w:t>每道电梯井设置一层模板斜坡防护。</w:t>
      </w:r>
    </w:p>
    <w:p w14:paraId="584C8FDC">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27.</w:t>
      </w:r>
      <w:r>
        <w:rPr>
          <w:rFonts w:hint="eastAsia" w:ascii="宋体" w:hAnsi="宋体" w:eastAsia="宋体" w:cs="宋体"/>
          <w:color w:val="auto"/>
          <w:sz w:val="28"/>
          <w:szCs w:val="28"/>
        </w:rPr>
        <w:t>8．混凝土浇筑时需派不少于二人对模板及支撑的看护及加固；</w:t>
      </w:r>
    </w:p>
    <w:p w14:paraId="46C1C896">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27.</w:t>
      </w:r>
      <w:r>
        <w:rPr>
          <w:rFonts w:hint="eastAsia" w:ascii="宋体" w:hAnsi="宋体" w:eastAsia="宋体" w:cs="宋体"/>
          <w:color w:val="auto"/>
          <w:sz w:val="28"/>
          <w:szCs w:val="28"/>
        </w:rPr>
        <w:t>9．严格按照文明工地的要求，工完场清，保持工作面整齐干净，无散落材料。模板加工的余料、刨花、锯沫清理不得超过四小时，并按招标人的要求，清理、堆放。</w:t>
      </w:r>
    </w:p>
    <w:p w14:paraId="0FBC6125">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27.</w:t>
      </w:r>
      <w:r>
        <w:rPr>
          <w:rFonts w:hint="eastAsia" w:ascii="宋体" w:hAnsi="宋体" w:eastAsia="宋体" w:cs="宋体"/>
          <w:color w:val="auto"/>
          <w:sz w:val="28"/>
          <w:szCs w:val="28"/>
        </w:rPr>
        <w:t>10．螺杆安装、拆卸、回丝、螺杆部位的小木块或塑料堵头起凿。</w:t>
      </w:r>
    </w:p>
    <w:p w14:paraId="0AC796CF">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27.</w:t>
      </w:r>
      <w:r>
        <w:rPr>
          <w:rFonts w:hint="eastAsia" w:ascii="宋体" w:hAnsi="宋体" w:eastAsia="宋体" w:cs="宋体"/>
          <w:color w:val="auto"/>
          <w:sz w:val="28"/>
          <w:szCs w:val="28"/>
        </w:rPr>
        <w:t>11．后浇带处钢丝网</w:t>
      </w:r>
      <w:r>
        <w:rPr>
          <w:rFonts w:hint="eastAsia" w:cs="宋体"/>
          <w:color w:val="auto"/>
          <w:sz w:val="28"/>
          <w:szCs w:val="28"/>
          <w:lang w:eastAsia="zh-CN"/>
        </w:rPr>
        <w:t>（</w:t>
      </w:r>
      <w:r>
        <w:rPr>
          <w:rFonts w:hint="eastAsia" w:cs="宋体"/>
          <w:color w:val="auto"/>
          <w:sz w:val="28"/>
          <w:szCs w:val="28"/>
          <w:lang w:val="en-US" w:eastAsia="zh-CN"/>
        </w:rPr>
        <w:t>又称鱼鳞网</w:t>
      </w:r>
      <w:r>
        <w:rPr>
          <w:rFonts w:hint="eastAsia" w:cs="宋体"/>
          <w:color w:val="auto"/>
          <w:sz w:val="28"/>
          <w:szCs w:val="28"/>
          <w:lang w:eastAsia="zh-CN"/>
        </w:rPr>
        <w:t>）</w:t>
      </w:r>
      <w:r>
        <w:rPr>
          <w:rFonts w:hint="eastAsia" w:ascii="宋体" w:hAnsi="宋体" w:eastAsia="宋体" w:cs="宋体"/>
          <w:color w:val="auto"/>
          <w:sz w:val="28"/>
          <w:szCs w:val="28"/>
        </w:rPr>
        <w:t>拦模制作、安装、后浇带处浇注时封堵。</w:t>
      </w:r>
    </w:p>
    <w:p w14:paraId="12C2FB00">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27.</w:t>
      </w:r>
      <w:r>
        <w:rPr>
          <w:rFonts w:hint="eastAsia" w:ascii="宋体" w:hAnsi="宋体" w:eastAsia="宋体" w:cs="宋体"/>
          <w:color w:val="auto"/>
          <w:sz w:val="28"/>
          <w:szCs w:val="28"/>
        </w:rPr>
        <w:t>12. 混凝土浇筑时模板跑模、涨模的混凝土和混凝土漏浆清理至浇筑部位；</w:t>
      </w:r>
    </w:p>
    <w:p w14:paraId="51B8D638">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27.</w:t>
      </w:r>
      <w:r>
        <w:rPr>
          <w:rFonts w:hint="eastAsia" w:ascii="宋体" w:hAnsi="宋体" w:eastAsia="宋体" w:cs="宋体"/>
          <w:color w:val="auto"/>
          <w:sz w:val="28"/>
          <w:szCs w:val="28"/>
        </w:rPr>
        <w:t>13. 拆模后的混凝土墙、柱涨模、跑模部位的处理和修复；</w:t>
      </w:r>
    </w:p>
    <w:p w14:paraId="63FAA79C">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27.</w:t>
      </w:r>
      <w:r>
        <w:rPr>
          <w:rFonts w:hint="eastAsia" w:ascii="宋体" w:hAnsi="宋体" w:eastAsia="宋体" w:cs="宋体"/>
          <w:color w:val="auto"/>
          <w:sz w:val="28"/>
          <w:szCs w:val="28"/>
        </w:rPr>
        <w:t>14. 柱、墙根部（包括混凝土浇筑前后各部位模板屑块）清理等范围与模板制作相关的工作；</w:t>
      </w:r>
    </w:p>
    <w:p w14:paraId="36B66B55">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27.</w:t>
      </w:r>
      <w:r>
        <w:rPr>
          <w:rFonts w:hint="eastAsia" w:ascii="宋体" w:hAnsi="宋体" w:eastAsia="宋体" w:cs="宋体"/>
          <w:color w:val="auto"/>
          <w:sz w:val="28"/>
          <w:szCs w:val="28"/>
        </w:rPr>
        <w:t>15. 模板支设后要按照施工图纸认真做好几何尺寸、轴线、平整度、垂直度等复核；</w:t>
      </w:r>
    </w:p>
    <w:p w14:paraId="61DD25CD">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27.</w:t>
      </w:r>
      <w:r>
        <w:rPr>
          <w:rFonts w:hint="eastAsia" w:ascii="宋体" w:hAnsi="宋体" w:eastAsia="宋体" w:cs="宋体"/>
          <w:color w:val="auto"/>
          <w:sz w:val="28"/>
          <w:szCs w:val="28"/>
        </w:rPr>
        <w:t>16. 由项目部施工员提供一次原始标高、控制点、控制线；引测、定位弹线由劳务分包人自行承担；</w:t>
      </w:r>
    </w:p>
    <w:p w14:paraId="0CE3D685">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27.</w:t>
      </w:r>
      <w:r>
        <w:rPr>
          <w:rFonts w:hint="eastAsia" w:ascii="宋体" w:hAnsi="宋体" w:eastAsia="宋体" w:cs="宋体"/>
          <w:color w:val="auto"/>
          <w:sz w:val="28"/>
          <w:szCs w:val="28"/>
        </w:rPr>
        <w:t>17. 中标人自行承担施工所需全部钢管、</w:t>
      </w:r>
      <w:r>
        <w:rPr>
          <w:rFonts w:hint="eastAsia" w:cs="宋体"/>
          <w:color w:val="auto"/>
          <w:sz w:val="28"/>
          <w:szCs w:val="28"/>
          <w:lang w:val="en-US" w:eastAsia="zh-CN"/>
        </w:rPr>
        <w:t>盘扣</w:t>
      </w:r>
      <w:r>
        <w:rPr>
          <w:rFonts w:hint="eastAsia" w:ascii="宋体" w:hAnsi="宋体" w:eastAsia="宋体" w:cs="宋体"/>
          <w:color w:val="auto"/>
          <w:sz w:val="28"/>
          <w:szCs w:val="28"/>
        </w:rPr>
        <w:t>、柱箍之外的所有材料（模板、方木、水泥撑条、对拉螺杆（含止水螺杆）、螺母、模板隔离剂、铁丝、</w:t>
      </w:r>
      <w:r>
        <w:rPr>
          <w:rFonts w:hint="eastAsia" w:cs="宋体"/>
          <w:color w:val="auto"/>
          <w:sz w:val="28"/>
          <w:szCs w:val="28"/>
          <w:lang w:val="en-US" w:eastAsia="zh-CN"/>
        </w:rPr>
        <w:t>圆</w:t>
      </w:r>
      <w:r>
        <w:rPr>
          <w:rFonts w:hint="eastAsia" w:ascii="宋体" w:hAnsi="宋体" w:eastAsia="宋体" w:cs="宋体"/>
          <w:color w:val="auto"/>
          <w:sz w:val="28"/>
          <w:szCs w:val="28"/>
        </w:rPr>
        <w:t>钉、海绵条、</w:t>
      </w:r>
      <w:r>
        <w:rPr>
          <w:rFonts w:hint="eastAsia" w:cs="宋体"/>
          <w:color w:val="auto"/>
          <w:sz w:val="28"/>
          <w:szCs w:val="28"/>
          <w:lang w:val="en-US" w:eastAsia="zh-CN"/>
        </w:rPr>
        <w:t>步步紧</w:t>
      </w:r>
      <w:r>
        <w:rPr>
          <w:rFonts w:hint="eastAsia" w:ascii="宋体" w:hAnsi="宋体" w:eastAsia="宋体" w:cs="宋体"/>
          <w:color w:val="auto"/>
          <w:sz w:val="28"/>
          <w:szCs w:val="28"/>
        </w:rPr>
        <w:t>、山型卡、塑料套管等）、联络用对讲机。</w:t>
      </w:r>
    </w:p>
    <w:p w14:paraId="7D3E1DFA">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27.</w:t>
      </w:r>
      <w:r>
        <w:rPr>
          <w:rFonts w:hint="eastAsia" w:ascii="宋体" w:hAnsi="宋体" w:eastAsia="宋体" w:cs="宋体"/>
          <w:color w:val="auto"/>
          <w:sz w:val="28"/>
          <w:szCs w:val="28"/>
        </w:rPr>
        <w:t>18. 模板工程所需的所有木工机械（台锯、平板刨、手电锯、手电钻及连接至三级箱的电线等）；</w:t>
      </w:r>
    </w:p>
    <w:p w14:paraId="2BB14516">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27.</w:t>
      </w:r>
      <w:r>
        <w:rPr>
          <w:rFonts w:hint="eastAsia" w:ascii="宋体" w:hAnsi="宋体" w:eastAsia="宋体" w:cs="宋体"/>
          <w:color w:val="auto"/>
          <w:sz w:val="28"/>
          <w:szCs w:val="28"/>
        </w:rPr>
        <w:t>19. 模板安装技术要求</w:t>
      </w:r>
    </w:p>
    <w:p w14:paraId="34B407ED">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模板安装过程中，自检人员要实施跟踪检查，按专项施工方案对支撑系统钢管立杆间距、横杆步距、垫板、斜撑、扫地杆、预埋件的位置、模板几何尺寸、轴线、垂直度、平整度、标高等进行验收，检验其是否符合设计和规范要求。模板安装的几何尺寸允许偏差见下表。</w:t>
      </w:r>
    </w:p>
    <w:p w14:paraId="3F940B88">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drawing>
          <wp:inline distT="0" distB="0" distL="114300" distR="114300">
            <wp:extent cx="5271135" cy="1567815"/>
            <wp:effectExtent l="0" t="0" r="7620" b="8255"/>
            <wp:docPr id="1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4"/>
                    <pic:cNvPicPr>
                      <a:picLocks noChangeAspect="1"/>
                    </pic:cNvPicPr>
                  </pic:nvPicPr>
                  <pic:blipFill>
                    <a:blip r:embed="rId60"/>
                    <a:stretch>
                      <a:fillRect/>
                    </a:stretch>
                  </pic:blipFill>
                  <pic:spPr>
                    <a:xfrm>
                      <a:off x="0" y="0"/>
                      <a:ext cx="5271135" cy="1567815"/>
                    </a:xfrm>
                    <a:prstGeom prst="rect">
                      <a:avLst/>
                    </a:prstGeom>
                    <a:noFill/>
                    <a:ln>
                      <a:noFill/>
                    </a:ln>
                  </pic:spPr>
                </pic:pic>
              </a:graphicData>
            </a:graphic>
          </wp:inline>
        </w:drawing>
      </w:r>
    </w:p>
    <w:p w14:paraId="746EC0AB">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27.</w:t>
      </w:r>
      <w:r>
        <w:rPr>
          <w:rFonts w:hint="eastAsia" w:ascii="宋体" w:hAnsi="宋体" w:eastAsia="宋体" w:cs="宋体"/>
          <w:color w:val="auto"/>
          <w:sz w:val="28"/>
          <w:szCs w:val="28"/>
        </w:rPr>
        <w:t>20. 模板拆除技术要求:</w:t>
      </w:r>
    </w:p>
    <w:p w14:paraId="4F2A0F29">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①．墙模板拆除：先拆除支撑、对拉螺栓、水平围檩及内楞，然后自上而下逐块拆除模板。</w:t>
      </w:r>
    </w:p>
    <w:p w14:paraId="4177CCD7">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②．楼板模板拆除：先放低支架，拆除部分内楞，然后逐块拆除模板。</w:t>
      </w:r>
    </w:p>
    <w:p w14:paraId="07740E28">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③．梁模板拆除：先侧模后底模。侧模的拆除先拆下侧模支撑和对拉螺栓，再拆除模板；底模的拆除先降低支架，然后逐块拆除模板。</w:t>
      </w:r>
    </w:p>
    <w:p w14:paraId="3220AC2E">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模板拆除技术要求</w:t>
      </w:r>
    </w:p>
    <w:tbl>
      <w:tblPr>
        <w:tblStyle w:val="5"/>
        <w:tblW w:w="8642"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9"/>
        <w:gridCol w:w="7843"/>
      </w:tblGrid>
      <w:tr w14:paraId="1583E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2" w:type="dxa"/>
            <w:gridSpan w:val="2"/>
            <w:tcBorders>
              <w:top w:val="single" w:color="auto" w:sz="4" w:space="0"/>
              <w:left w:val="single" w:color="auto" w:sz="4" w:space="0"/>
              <w:bottom w:val="single" w:color="auto" w:sz="4" w:space="0"/>
              <w:right w:val="single" w:color="auto" w:sz="4" w:space="0"/>
            </w:tcBorders>
            <w:noWrap w:val="0"/>
            <w:vAlign w:val="center"/>
          </w:tcPr>
          <w:p w14:paraId="36087EE4">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质量验收规范的规定</w:t>
            </w:r>
          </w:p>
        </w:tc>
      </w:tr>
      <w:tr w14:paraId="7CC53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9" w:type="dxa"/>
            <w:vMerge w:val="restart"/>
            <w:tcBorders>
              <w:top w:val="single" w:color="auto" w:sz="4" w:space="0"/>
              <w:left w:val="single" w:color="auto" w:sz="4" w:space="0"/>
              <w:right w:val="single" w:color="auto" w:sz="4" w:space="0"/>
            </w:tcBorders>
            <w:noWrap w:val="0"/>
            <w:vAlign w:val="center"/>
          </w:tcPr>
          <w:p w14:paraId="458A2130">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主控项目</w:t>
            </w:r>
          </w:p>
        </w:tc>
        <w:tc>
          <w:tcPr>
            <w:tcW w:w="7843" w:type="dxa"/>
            <w:tcBorders>
              <w:top w:val="single" w:color="auto" w:sz="4" w:space="0"/>
              <w:left w:val="single" w:color="auto" w:sz="4" w:space="0"/>
              <w:bottom w:val="single" w:color="auto" w:sz="4" w:space="0"/>
              <w:right w:val="single" w:color="auto" w:sz="4" w:space="0"/>
            </w:tcBorders>
            <w:noWrap w:val="0"/>
            <w:vAlign w:val="center"/>
          </w:tcPr>
          <w:p w14:paraId="69BE3637">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底模及其支架拆除时的混凝土强度应符合设计要求；当设计无具体要求时，混凝土强度应符合规范规定。</w:t>
            </w:r>
          </w:p>
        </w:tc>
      </w:tr>
      <w:tr w14:paraId="7DF9F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4" w:hRule="atLeast"/>
        </w:trPr>
        <w:tc>
          <w:tcPr>
            <w:tcW w:w="799" w:type="dxa"/>
            <w:vMerge w:val="continue"/>
            <w:tcBorders>
              <w:left w:val="single" w:color="auto" w:sz="4" w:space="0"/>
              <w:bottom w:val="single" w:color="auto" w:sz="4" w:space="0"/>
              <w:right w:val="single" w:color="auto" w:sz="4" w:space="0"/>
            </w:tcBorders>
            <w:noWrap w:val="0"/>
            <w:vAlign w:val="center"/>
          </w:tcPr>
          <w:p w14:paraId="1E651881">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p>
        </w:tc>
        <w:tc>
          <w:tcPr>
            <w:tcW w:w="7843" w:type="dxa"/>
            <w:tcBorders>
              <w:top w:val="single" w:color="auto" w:sz="4" w:space="0"/>
              <w:left w:val="single" w:color="auto" w:sz="4" w:space="0"/>
              <w:right w:val="single" w:color="auto" w:sz="4" w:space="0"/>
            </w:tcBorders>
            <w:noWrap w:val="0"/>
            <w:vAlign w:val="center"/>
          </w:tcPr>
          <w:p w14:paraId="2185A419">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后浇带模板的拆除和支顶应按施工技术方案执行。</w:t>
            </w:r>
          </w:p>
        </w:tc>
      </w:tr>
      <w:tr w14:paraId="00E8D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9" w:type="dxa"/>
            <w:vMerge w:val="restart"/>
            <w:tcBorders>
              <w:top w:val="single" w:color="auto" w:sz="4" w:space="0"/>
              <w:left w:val="single" w:color="auto" w:sz="4" w:space="0"/>
              <w:right w:val="single" w:color="auto" w:sz="4" w:space="0"/>
            </w:tcBorders>
            <w:noWrap w:val="0"/>
            <w:vAlign w:val="center"/>
          </w:tcPr>
          <w:p w14:paraId="62561B68">
            <w:pPr>
              <w:pStyle w:val="4"/>
              <w:keepNext w:val="0"/>
              <w:keepLines w:val="0"/>
              <w:pageBreakBefore w:val="0"/>
              <w:widowControl w:val="0"/>
              <w:tabs>
                <w:tab w:val="center" w:pos="216"/>
              </w:tabs>
              <w:kinsoku/>
              <w:wordWrap/>
              <w:overflowPunct/>
              <w:topLinePunct w:val="0"/>
              <w:autoSpaceDE/>
              <w:autoSpaceDN/>
              <w:bidi w:val="0"/>
              <w:spacing w:before="0" w:beforeAutospacing="0" w:after="0" w:afterAutospacing="0" w:line="240" w:lineRule="auto"/>
              <w:jc w:val="both"/>
              <w:textAlignment w:val="auto"/>
              <w:rPr>
                <w:rFonts w:hint="default" w:ascii="宋体" w:hAnsi="宋体" w:eastAsia="宋体" w:cs="宋体"/>
                <w:color w:val="auto"/>
                <w:sz w:val="28"/>
                <w:szCs w:val="28"/>
                <w:lang w:val="en-US"/>
              </w:rPr>
            </w:pPr>
            <w:r>
              <w:rPr>
                <w:rFonts w:hint="eastAsia" w:cs="宋体"/>
                <w:color w:val="auto"/>
                <w:sz w:val="28"/>
                <w:szCs w:val="28"/>
                <w:lang w:val="en-US" w:eastAsia="zh-CN"/>
              </w:rPr>
              <w:t>一般项目</w:t>
            </w:r>
          </w:p>
          <w:p w14:paraId="5CDF9D55">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p>
        </w:tc>
        <w:tc>
          <w:tcPr>
            <w:tcW w:w="7843" w:type="dxa"/>
            <w:tcBorders>
              <w:top w:val="single" w:color="auto" w:sz="4" w:space="0"/>
              <w:left w:val="single" w:color="auto" w:sz="4" w:space="0"/>
              <w:bottom w:val="single" w:color="auto" w:sz="4" w:space="0"/>
              <w:right w:val="single" w:color="auto" w:sz="4" w:space="0"/>
            </w:tcBorders>
            <w:noWrap w:val="0"/>
            <w:vAlign w:val="center"/>
          </w:tcPr>
          <w:p w14:paraId="13C0F26E">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侧模拆除时的混凝土强度应能保证其表面及棱角不受损伤</w:t>
            </w:r>
          </w:p>
        </w:tc>
      </w:tr>
      <w:tr w14:paraId="2893A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9" w:type="dxa"/>
            <w:vMerge w:val="continue"/>
            <w:tcBorders>
              <w:left w:val="single" w:color="auto" w:sz="4" w:space="0"/>
              <w:bottom w:val="single" w:color="auto" w:sz="4" w:space="0"/>
              <w:right w:val="single" w:color="auto" w:sz="4" w:space="0"/>
            </w:tcBorders>
            <w:noWrap w:val="0"/>
            <w:vAlign w:val="center"/>
          </w:tcPr>
          <w:p w14:paraId="07F7C584">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p>
        </w:tc>
        <w:tc>
          <w:tcPr>
            <w:tcW w:w="7843" w:type="dxa"/>
            <w:tcBorders>
              <w:top w:val="single" w:color="auto" w:sz="4" w:space="0"/>
              <w:left w:val="single" w:color="auto" w:sz="4" w:space="0"/>
              <w:bottom w:val="single" w:color="auto" w:sz="4" w:space="0"/>
              <w:right w:val="single" w:color="auto" w:sz="4" w:space="0"/>
            </w:tcBorders>
            <w:noWrap w:val="0"/>
            <w:vAlign w:val="center"/>
          </w:tcPr>
          <w:p w14:paraId="17CD532A">
            <w:pPr>
              <w:pStyle w:val="4"/>
              <w:keepNext w:val="0"/>
              <w:keepLines w:val="0"/>
              <w:pageBreakBefore w:val="0"/>
              <w:widowControl w:val="0"/>
              <w:kinsoku/>
              <w:wordWrap/>
              <w:overflowPunct/>
              <w:topLinePunct w:val="0"/>
              <w:autoSpaceDE/>
              <w:autoSpaceDN/>
              <w:bidi w:val="0"/>
              <w:spacing w:before="0" w:beforeAutospacing="0" w:after="0" w:afterAutospacing="0" w:line="240" w:lineRule="auto"/>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模板拆除时，不应对楼层形成冲击荷载。拆除的模板和支架宜分散堆放并及时清运。</w:t>
            </w:r>
          </w:p>
        </w:tc>
      </w:tr>
    </w:tbl>
    <w:p w14:paraId="6B469335">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27.</w:t>
      </w:r>
      <w:r>
        <w:rPr>
          <w:rFonts w:hint="eastAsia" w:ascii="宋体" w:hAnsi="宋体" w:eastAsia="宋体" w:cs="宋体"/>
          <w:color w:val="auto"/>
          <w:sz w:val="28"/>
          <w:szCs w:val="28"/>
        </w:rPr>
        <w:t>21.后浇带保护：在后浇混凝土未浇注之前，后浇带的两侧应采用砖砌档墙以及上口采用木盖板</w:t>
      </w:r>
      <w:r>
        <w:rPr>
          <w:rFonts w:hint="eastAsia" w:cs="宋体"/>
          <w:color w:val="auto"/>
          <w:sz w:val="28"/>
          <w:szCs w:val="28"/>
          <w:lang w:val="en-US" w:eastAsia="zh-CN"/>
        </w:rPr>
        <w:t>或甲供钢板</w:t>
      </w:r>
      <w:r>
        <w:rPr>
          <w:rFonts w:hint="eastAsia" w:ascii="宋体" w:hAnsi="宋体" w:eastAsia="宋体" w:cs="宋体"/>
          <w:color w:val="auto"/>
          <w:sz w:val="28"/>
          <w:szCs w:val="28"/>
        </w:rPr>
        <w:t>（板面刷黄黑漆）进行全封闭保护，防止混凝土、砂浆结块污染及建筑杂物大量堆积。</w:t>
      </w:r>
    </w:p>
    <w:p w14:paraId="6B1F1CB1">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cs="宋体"/>
          <w:color w:val="auto"/>
          <w:sz w:val="28"/>
          <w:szCs w:val="28"/>
          <w:lang w:val="en-US" w:eastAsia="zh-CN"/>
        </w:rPr>
        <w:t>27.</w:t>
      </w:r>
      <w:r>
        <w:rPr>
          <w:rFonts w:hint="eastAsia" w:ascii="宋体" w:hAnsi="宋体" w:eastAsia="宋体" w:cs="宋体"/>
          <w:color w:val="auto"/>
          <w:sz w:val="28"/>
          <w:szCs w:val="28"/>
        </w:rPr>
        <w:t>22. 模板安装质量验收奖罚标准:</w:t>
      </w:r>
    </w:p>
    <w:p w14:paraId="5B8FA1F1">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模板工程质量应符合《混凝土结构工程施工规范GB 50666-2011》的要求</w:t>
      </w:r>
    </w:p>
    <w:p w14:paraId="54CB3693">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①．模板及其支撑应首先具有足够的承载力，刚度和稳定性，可靠的承受浇筑混凝土的质量、侧压力及施工荷载，钢管支撑系统必须按模板专项施工方案进行施工，若达不到要求处以1000元/次的罚款。</w:t>
      </w:r>
    </w:p>
    <w:p w14:paraId="4B86A284">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②．模板应平整，不得使用翘曲、烂边的模板，否则给予500元/次的罚款。</w:t>
      </w:r>
    </w:p>
    <w:p w14:paraId="48B97098">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③．模板内支撑严禁与外架连接，一经发现处以5000元/次的罚款。</w:t>
      </w:r>
    </w:p>
    <w:p w14:paraId="682A2513">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④．模板安装完自检合格后，由劳务分包木工专项工长向总包项目部质检员报验，若项目部质检员检查偏差超过规范要求的部位，给予30-50元/处的罚款。</w:t>
      </w:r>
    </w:p>
    <w:p w14:paraId="264814DB">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⑤．涂刷模板隔离剂时，不得污染钢筋与混凝土的接茬处，如有污染给予30元/处的罚款。梁、板、墙等结构线条做错或漏做的，给予300-1000元罚款。</w:t>
      </w:r>
    </w:p>
    <w:p w14:paraId="7CAA41E6">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⑥．支撑架顶托自由端长度不得超过200mm，否则给予50元/根的罚款</w:t>
      </w:r>
    </w:p>
    <w:p w14:paraId="7D15967D">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fldChar w:fldCharType="begin"/>
      </w:r>
      <w:r>
        <w:rPr>
          <w:rFonts w:hint="eastAsia" w:ascii="宋体" w:hAnsi="宋体" w:eastAsia="宋体" w:cs="宋体"/>
          <w:color w:val="auto"/>
          <w:sz w:val="28"/>
          <w:szCs w:val="28"/>
        </w:rPr>
        <w:instrText xml:space="preserve"> = 7 \* GB3 </w:instrText>
      </w:r>
      <w:r>
        <w:rPr>
          <w:rFonts w:hint="eastAsia" w:ascii="宋体" w:hAnsi="宋体" w:eastAsia="宋体" w:cs="宋体"/>
          <w:color w:val="auto"/>
          <w:sz w:val="28"/>
          <w:szCs w:val="28"/>
        </w:rPr>
        <w:fldChar w:fldCharType="separate"/>
      </w:r>
      <w:r>
        <w:rPr>
          <w:rFonts w:hint="eastAsia" w:ascii="宋体" w:hAnsi="宋体" w:eastAsia="宋体" w:cs="宋体"/>
          <w:color w:val="auto"/>
          <w:sz w:val="28"/>
          <w:szCs w:val="28"/>
        </w:rPr>
        <w:t>⑦</w:t>
      </w:r>
      <w:r>
        <w:rPr>
          <w:rFonts w:hint="eastAsia" w:ascii="宋体" w:hAnsi="宋体" w:eastAsia="宋体" w:cs="宋体"/>
          <w:color w:val="auto"/>
          <w:sz w:val="28"/>
          <w:szCs w:val="28"/>
        </w:rPr>
        <w:fldChar w:fldCharType="end"/>
      </w:r>
      <w:r>
        <w:rPr>
          <w:rFonts w:hint="eastAsia" w:ascii="宋体" w:hAnsi="宋体" w:eastAsia="宋体" w:cs="宋体"/>
          <w:color w:val="auto"/>
          <w:sz w:val="28"/>
          <w:szCs w:val="28"/>
        </w:rPr>
        <w:t>．模板加固应牢靠，严禁涨模、爆模、烂根现象的产生，如有涨模发生罚款1000元/处、爆模罚款1500元/处，并有劳务分包承担浪费混凝土及修复费用。</w:t>
      </w:r>
    </w:p>
    <w:p w14:paraId="78493854">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fldChar w:fldCharType="begin"/>
      </w:r>
      <w:r>
        <w:rPr>
          <w:rFonts w:hint="eastAsia" w:ascii="宋体" w:hAnsi="宋体" w:eastAsia="宋体" w:cs="宋体"/>
          <w:color w:val="auto"/>
          <w:sz w:val="28"/>
          <w:szCs w:val="28"/>
        </w:rPr>
        <w:instrText xml:space="preserve"> = 8 \* GB3 </w:instrText>
      </w:r>
      <w:r>
        <w:rPr>
          <w:rFonts w:hint="eastAsia" w:ascii="宋体" w:hAnsi="宋体" w:eastAsia="宋体" w:cs="宋体"/>
          <w:color w:val="auto"/>
          <w:sz w:val="28"/>
          <w:szCs w:val="28"/>
        </w:rPr>
        <w:fldChar w:fldCharType="separate"/>
      </w:r>
      <w:r>
        <w:rPr>
          <w:rFonts w:hint="eastAsia" w:ascii="宋体" w:hAnsi="宋体" w:eastAsia="宋体" w:cs="宋体"/>
          <w:color w:val="auto"/>
          <w:sz w:val="28"/>
          <w:szCs w:val="28"/>
        </w:rPr>
        <w:t>⑧</w:t>
      </w:r>
      <w:r>
        <w:rPr>
          <w:rFonts w:hint="eastAsia" w:ascii="宋体" w:hAnsi="宋体" w:eastAsia="宋体" w:cs="宋体"/>
          <w:color w:val="auto"/>
          <w:sz w:val="28"/>
          <w:szCs w:val="28"/>
        </w:rPr>
        <w:fldChar w:fldCharType="end"/>
      </w:r>
      <w:r>
        <w:rPr>
          <w:rFonts w:hint="eastAsia" w:ascii="宋体" w:hAnsi="宋体" w:eastAsia="宋体" w:cs="宋体"/>
          <w:color w:val="auto"/>
          <w:sz w:val="28"/>
          <w:szCs w:val="28"/>
        </w:rPr>
        <w:t>．模板拆除前，必须填写拆模令，经项目部质检员、安全员、技术负责人签字后才可进行拆模工作，擅自拆模给予1500元/处的罚款。</w:t>
      </w:r>
    </w:p>
    <w:p w14:paraId="48CC6268">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fldChar w:fldCharType="begin"/>
      </w:r>
      <w:r>
        <w:rPr>
          <w:rFonts w:hint="eastAsia" w:ascii="宋体" w:hAnsi="宋体" w:eastAsia="宋体" w:cs="宋体"/>
          <w:color w:val="auto"/>
          <w:sz w:val="28"/>
          <w:szCs w:val="28"/>
        </w:rPr>
        <w:instrText xml:space="preserve"> = 9 \* GB3 </w:instrText>
      </w:r>
      <w:r>
        <w:rPr>
          <w:rFonts w:hint="eastAsia" w:ascii="宋体" w:hAnsi="宋体" w:eastAsia="宋体" w:cs="宋体"/>
          <w:color w:val="auto"/>
          <w:sz w:val="28"/>
          <w:szCs w:val="28"/>
        </w:rPr>
        <w:fldChar w:fldCharType="separate"/>
      </w:r>
      <w:r>
        <w:rPr>
          <w:rFonts w:hint="eastAsia" w:ascii="宋体" w:hAnsi="宋体" w:eastAsia="宋体" w:cs="宋体"/>
          <w:color w:val="auto"/>
          <w:sz w:val="28"/>
          <w:szCs w:val="28"/>
        </w:rPr>
        <w:t>⑨</w:t>
      </w:r>
      <w:r>
        <w:rPr>
          <w:rFonts w:hint="eastAsia" w:ascii="宋体" w:hAnsi="宋体" w:eastAsia="宋体" w:cs="宋体"/>
          <w:color w:val="auto"/>
          <w:sz w:val="28"/>
          <w:szCs w:val="28"/>
        </w:rPr>
        <w:fldChar w:fldCharType="end"/>
      </w:r>
      <w:r>
        <w:rPr>
          <w:rFonts w:hint="eastAsia" w:ascii="宋体" w:hAnsi="宋体" w:eastAsia="宋体" w:cs="宋体"/>
          <w:color w:val="auto"/>
          <w:sz w:val="28"/>
          <w:szCs w:val="28"/>
        </w:rPr>
        <w:t>．拆除部位应根据混凝土试块强度来决定，严禁劳务分包擅自拆除梁板底部及悬挑部位的模板和支撑，否则处以每处1500元罚款；其他部位模板拆除应避免对混凝土边角的损坏，对以损坏并影响观感质量的处以每处50元罚款。</w:t>
      </w:r>
    </w:p>
    <w:p w14:paraId="27C29F54">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fldChar w:fldCharType="begin"/>
      </w:r>
      <w:r>
        <w:rPr>
          <w:rFonts w:hint="eastAsia" w:ascii="宋体" w:hAnsi="宋体" w:eastAsia="宋体" w:cs="宋体"/>
          <w:color w:val="auto"/>
          <w:sz w:val="28"/>
          <w:szCs w:val="28"/>
        </w:rPr>
        <w:instrText xml:space="preserve"> = 10 \* GB3 </w:instrText>
      </w:r>
      <w:r>
        <w:rPr>
          <w:rFonts w:hint="eastAsia" w:ascii="宋体" w:hAnsi="宋体" w:eastAsia="宋体" w:cs="宋体"/>
          <w:color w:val="auto"/>
          <w:sz w:val="28"/>
          <w:szCs w:val="28"/>
        </w:rPr>
        <w:fldChar w:fldCharType="separate"/>
      </w:r>
      <w:r>
        <w:rPr>
          <w:rFonts w:hint="eastAsia" w:ascii="宋体" w:hAnsi="宋体" w:eastAsia="宋体" w:cs="宋体"/>
          <w:color w:val="auto"/>
          <w:sz w:val="28"/>
          <w:szCs w:val="28"/>
        </w:rPr>
        <w:t>⑩</w:t>
      </w:r>
      <w:r>
        <w:rPr>
          <w:rFonts w:hint="eastAsia" w:ascii="宋体" w:hAnsi="宋体" w:eastAsia="宋体" w:cs="宋体"/>
          <w:color w:val="auto"/>
          <w:sz w:val="28"/>
          <w:szCs w:val="28"/>
        </w:rPr>
        <w:fldChar w:fldCharType="end"/>
      </w:r>
      <w:r>
        <w:rPr>
          <w:rFonts w:hint="eastAsia" w:ascii="宋体" w:hAnsi="宋体" w:eastAsia="宋体" w:cs="宋体"/>
          <w:color w:val="auto"/>
          <w:sz w:val="28"/>
          <w:szCs w:val="28"/>
        </w:rPr>
        <w:t>．模板拆除后观感质量的处罚</w:t>
      </w:r>
    </w:p>
    <w:p w14:paraId="42446E66">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1）模板拆除后，阴阳角漏浆罚100元/处、烂根罚200元/处。</w:t>
      </w:r>
    </w:p>
    <w:p w14:paraId="76E89A01">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2）梁、柱、线条、悬挑板、墙垛拆模后出现</w:t>
      </w:r>
      <w:r>
        <w:rPr>
          <w:rFonts w:hint="eastAsia" w:cs="宋体"/>
          <w:color w:val="auto"/>
          <w:sz w:val="28"/>
          <w:szCs w:val="28"/>
          <w:lang w:val="en-US" w:eastAsia="zh-CN"/>
        </w:rPr>
        <w:t>变形</w:t>
      </w:r>
      <w:r>
        <w:rPr>
          <w:rFonts w:hint="eastAsia" w:ascii="宋体" w:hAnsi="宋体" w:eastAsia="宋体" w:cs="宋体"/>
          <w:color w:val="auto"/>
          <w:sz w:val="28"/>
          <w:szCs w:val="28"/>
        </w:rPr>
        <w:t>处罚100-500元/处。</w:t>
      </w:r>
    </w:p>
    <w:p w14:paraId="77182F34">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3）板面高低不平或未按照要求起拱，墙、柱、梁截面尺寸偏差，超出规范要求的，梁柱节点拼接质量差的，给予500元/处的罚款。</w:t>
      </w:r>
    </w:p>
    <w:p w14:paraId="018ABE82">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4）模板拆除应避免对混凝土边角的损坏，对以损坏并影响观感质量的处以每处50元罚款。</w:t>
      </w:r>
    </w:p>
    <w:p w14:paraId="25E34763">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5）严格控制现浇板模板拼接质量和板底平整度，模板拼缝应采用硬拼接，杜绝使用胶带等</w:t>
      </w:r>
      <w:r>
        <w:rPr>
          <w:rFonts w:hint="eastAsia" w:cs="宋体"/>
          <w:color w:val="auto"/>
          <w:sz w:val="28"/>
          <w:szCs w:val="28"/>
          <w:lang w:val="en-US" w:eastAsia="zh-CN"/>
        </w:rPr>
        <w:t>柔性</w:t>
      </w:r>
      <w:r>
        <w:rPr>
          <w:rFonts w:hint="eastAsia" w:ascii="宋体" w:hAnsi="宋体" w:eastAsia="宋体" w:cs="宋体"/>
          <w:color w:val="auto"/>
          <w:sz w:val="28"/>
          <w:szCs w:val="28"/>
        </w:rPr>
        <w:t>措施进行板缝处理，否则处以</w:t>
      </w:r>
      <w:r>
        <w:rPr>
          <w:rFonts w:hint="eastAsia" w:cs="宋体"/>
          <w:color w:val="auto"/>
          <w:sz w:val="28"/>
          <w:szCs w:val="28"/>
          <w:lang w:val="en-US" w:eastAsia="zh-CN"/>
        </w:rPr>
        <w:t>500</w:t>
      </w:r>
      <w:r>
        <w:rPr>
          <w:rFonts w:hint="eastAsia" w:ascii="宋体" w:hAnsi="宋体" w:eastAsia="宋体" w:cs="宋体"/>
          <w:color w:val="auto"/>
          <w:sz w:val="28"/>
          <w:szCs w:val="28"/>
        </w:rPr>
        <w:t>元/处的罚款。</w:t>
      </w:r>
    </w:p>
    <w:p w14:paraId="62894029">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6）拆模后成型标准：砼振捣密实无起泡</w:t>
      </w:r>
      <w:r>
        <w:rPr>
          <w:rFonts w:hint="eastAsia" w:cs="宋体"/>
          <w:color w:val="auto"/>
          <w:sz w:val="28"/>
          <w:szCs w:val="28"/>
          <w:lang w:val="en-US" w:eastAsia="zh-CN"/>
        </w:rPr>
        <w:t>、</w:t>
      </w:r>
      <w:r>
        <w:rPr>
          <w:rFonts w:hint="eastAsia" w:ascii="宋体" w:hAnsi="宋体" w:eastAsia="宋体" w:cs="宋体"/>
          <w:color w:val="auto"/>
          <w:sz w:val="28"/>
          <w:szCs w:val="28"/>
          <w:lang w:val="en-US" w:eastAsia="zh-CN"/>
        </w:rPr>
        <w:t>麻面和孔洞，砼不开裂，不掉角，尺寸符合图纸要求，砼达到拆模要求强度，竖向构件角顺直方正，垂直度符合要求，</w:t>
      </w:r>
      <w:r>
        <w:rPr>
          <w:rFonts w:hint="eastAsia" w:cs="宋体"/>
          <w:color w:val="auto"/>
          <w:sz w:val="28"/>
          <w:szCs w:val="28"/>
          <w:lang w:val="en-US" w:eastAsia="zh-CN"/>
        </w:rPr>
        <w:t>竖向构件</w:t>
      </w:r>
      <w:r>
        <w:rPr>
          <w:rFonts w:hint="eastAsia" w:ascii="宋体" w:hAnsi="宋体" w:eastAsia="宋体" w:cs="宋体"/>
          <w:color w:val="auto"/>
          <w:sz w:val="28"/>
          <w:szCs w:val="28"/>
          <w:lang w:val="en-US" w:eastAsia="zh-CN"/>
        </w:rPr>
        <w:t>角无漏浆和无胀模，模板拼缝无麻面无错台现象，底部无烂根现象，平面构件表面平整，线条平直，拆模无损坏，标高符合图纸要求，起拱板底平整无错台。未达标准的，无条件整改至合格。</w:t>
      </w:r>
    </w:p>
    <w:p w14:paraId="32A29989">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cs="宋体"/>
          <w:color w:val="auto"/>
          <w:sz w:val="28"/>
          <w:szCs w:val="28"/>
          <w:lang w:val="en-US" w:eastAsia="zh-CN"/>
        </w:rPr>
      </w:pPr>
      <w:r>
        <w:rPr>
          <w:rFonts w:hint="eastAsia" w:cs="宋体"/>
          <w:color w:val="auto"/>
          <w:sz w:val="28"/>
          <w:szCs w:val="28"/>
          <w:lang w:val="en-US" w:eastAsia="zh-CN"/>
        </w:rPr>
        <w:t>7）混凝土女儿墙应留置防水卷材收口凹槽。</w:t>
      </w:r>
    </w:p>
    <w:p w14:paraId="4B5F7AE4">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cs="宋体"/>
          <w:color w:val="auto"/>
          <w:sz w:val="28"/>
          <w:szCs w:val="28"/>
          <w:lang w:val="en-US" w:eastAsia="zh-CN"/>
        </w:rPr>
      </w:pPr>
      <w:r>
        <w:rPr>
          <w:rFonts w:hint="eastAsia" w:cs="宋体"/>
          <w:color w:val="auto"/>
          <w:sz w:val="28"/>
          <w:szCs w:val="28"/>
          <w:lang w:val="en-US" w:eastAsia="zh-CN"/>
        </w:rPr>
        <w:t>8）混凝土拆模时严禁留存木条、木屑、模板、螺杆等。每发现一处罚款300元。</w:t>
      </w:r>
    </w:p>
    <w:p w14:paraId="38E5BFAC">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default" w:cs="宋体"/>
          <w:color w:val="auto"/>
          <w:sz w:val="28"/>
          <w:szCs w:val="28"/>
          <w:lang w:val="en-US" w:eastAsia="zh-CN"/>
        </w:rPr>
      </w:pPr>
      <w:r>
        <w:rPr>
          <w:rFonts w:hint="eastAsia" w:cs="宋体"/>
          <w:color w:val="auto"/>
          <w:sz w:val="28"/>
          <w:szCs w:val="28"/>
          <w:lang w:val="en-US" w:eastAsia="zh-CN"/>
        </w:rPr>
        <w:t>9）地下室混凝土结构要求达到清水模板效果。否则修补费用由投标人承担。</w:t>
      </w:r>
    </w:p>
    <w:p w14:paraId="15841A75">
      <w:pPr>
        <w:keepNext w:val="0"/>
        <w:keepLines w:val="0"/>
        <w:pageBreakBefore w:val="0"/>
        <w:widowControl w:val="0"/>
        <w:numPr>
          <w:ilvl w:val="0"/>
          <w:numId w:val="0"/>
        </w:numPr>
        <w:kinsoku/>
        <w:wordWrap/>
        <w:overflowPunct/>
        <w:topLinePunct w:val="0"/>
        <w:autoSpaceDE/>
        <w:autoSpaceDN/>
        <w:bidi w:val="0"/>
        <w:snapToGrid w:val="0"/>
        <w:spacing w:line="240" w:lineRule="auto"/>
        <w:ind w:firstLine="560" w:firstLineChars="200"/>
        <w:jc w:val="both"/>
        <w:textAlignment w:val="auto"/>
        <w:rPr>
          <w:rFonts w:hint="eastAsia" w:ascii="宋体" w:hAnsi="宋体" w:eastAsia="宋体" w:cs="宋体"/>
          <w:color w:val="auto"/>
          <w:sz w:val="28"/>
          <w:szCs w:val="28"/>
          <w:highlight w:val="yellow"/>
        </w:rPr>
      </w:pPr>
      <w:r>
        <w:rPr>
          <w:rFonts w:hint="eastAsia" w:hAnsi="宋体" w:cs="宋体"/>
          <w:color w:val="auto"/>
          <w:sz w:val="28"/>
          <w:szCs w:val="28"/>
          <w:highlight w:val="yellow"/>
          <w:lang w:val="en-US" w:eastAsia="zh-CN"/>
        </w:rPr>
        <w:t>28、</w:t>
      </w:r>
      <w:r>
        <w:rPr>
          <w:rFonts w:hint="eastAsia" w:ascii="宋体" w:hAnsi="宋体" w:eastAsia="宋体" w:cs="宋体"/>
          <w:color w:val="auto"/>
          <w:sz w:val="28"/>
          <w:szCs w:val="28"/>
          <w:highlight w:val="yellow"/>
        </w:rPr>
        <w:t>综上所述以上内容，投标单位报价中综合考虑，不另外计算或调整</w:t>
      </w:r>
      <w:r>
        <w:rPr>
          <w:rFonts w:hint="eastAsia" w:hAnsi="宋体" w:cs="宋体"/>
          <w:color w:val="auto"/>
          <w:sz w:val="28"/>
          <w:szCs w:val="28"/>
          <w:highlight w:val="yellow"/>
          <w:lang w:eastAsia="zh-CN"/>
        </w:rPr>
        <w:t>，</w:t>
      </w:r>
      <w:r>
        <w:rPr>
          <w:rFonts w:hint="eastAsia" w:ascii="宋体" w:hAnsi="宋体" w:eastAsia="宋体" w:cs="宋体"/>
          <w:color w:val="auto"/>
          <w:sz w:val="28"/>
          <w:szCs w:val="28"/>
          <w:highlight w:val="yellow"/>
        </w:rPr>
        <w:t>不得以任何理由增补费用。</w:t>
      </w:r>
    </w:p>
    <w:p w14:paraId="6D3DC91F">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560" w:firstLineChars="200"/>
        <w:jc w:val="both"/>
        <w:textAlignment w:val="auto"/>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29、部分标准做法图片示例</w:t>
      </w:r>
    </w:p>
    <w:p w14:paraId="2FA8610A">
      <w:pPr>
        <w:keepNext w:val="0"/>
        <w:keepLines w:val="0"/>
        <w:pageBreakBefore w:val="0"/>
        <w:widowControl w:val="0"/>
        <w:kinsoku/>
        <w:wordWrap/>
        <w:overflowPunct/>
        <w:topLinePunct w:val="0"/>
        <w:autoSpaceDE/>
        <w:autoSpaceDN/>
        <w:bidi w:val="0"/>
        <w:spacing w:line="240" w:lineRule="auto"/>
        <w:jc w:val="both"/>
        <w:textAlignment w:val="auto"/>
        <w:rPr>
          <w:color w:val="auto"/>
        </w:rPr>
      </w:pPr>
      <w:r>
        <w:rPr>
          <w:rFonts w:hint="eastAsia" w:ascii="宋体" w:hAnsi="宋体" w:eastAsia="宋体" w:cs="宋体"/>
          <w:color w:val="auto"/>
          <w:sz w:val="28"/>
          <w:szCs w:val="28"/>
          <w:lang w:val="en-US" w:eastAsia="zh-CN"/>
        </w:rPr>
        <w:t>29、1放线：在垫层、底板及楼板混凝土浇筑成型后一次性弹设轴线、十字通、墙边线、梁投影线</w:t>
      </w:r>
      <w:r>
        <w:rPr>
          <w:rFonts w:hint="eastAsia" w:cs="宋体"/>
          <w:color w:val="auto"/>
          <w:sz w:val="28"/>
          <w:szCs w:val="28"/>
          <w:lang w:val="en-US" w:eastAsia="zh-CN"/>
        </w:rPr>
        <w:t>；</w:t>
      </w:r>
      <w:r>
        <w:rPr>
          <w:rFonts w:hint="eastAsia" w:ascii="宋体" w:hAnsi="宋体" w:eastAsia="宋体" w:cs="宋体"/>
          <w:color w:val="auto"/>
          <w:sz w:val="28"/>
          <w:szCs w:val="28"/>
          <w:lang w:val="en-US" w:eastAsia="zh-CN"/>
        </w:rPr>
        <w:t>安全</w:t>
      </w:r>
      <w:r>
        <w:rPr>
          <w:rFonts w:hint="eastAsia" w:hAnsi="宋体" w:cs="宋体"/>
          <w:color w:val="auto"/>
          <w:sz w:val="28"/>
          <w:szCs w:val="28"/>
          <w:lang w:val="en-US" w:eastAsia="zh-CN"/>
        </w:rPr>
        <w:t>文明</w:t>
      </w:r>
      <w:r>
        <w:rPr>
          <w:rFonts w:hint="eastAsia" w:ascii="宋体" w:hAnsi="宋体" w:eastAsia="宋体" w:cs="宋体"/>
          <w:color w:val="auto"/>
          <w:sz w:val="28"/>
          <w:szCs w:val="28"/>
          <w:lang w:val="en-US" w:eastAsia="zh-CN"/>
        </w:rPr>
        <w:t>措施：锯木机旁边放置木屑收集箱和灭火器，每天工完场清，现场标识木工间</w:t>
      </w:r>
    </w:p>
    <w:p w14:paraId="414F7FBF">
      <w:pPr>
        <w:pStyle w:val="2"/>
        <w:keepNext w:val="0"/>
        <w:keepLines w:val="0"/>
        <w:pageBreakBefore w:val="0"/>
        <w:widowControl w:val="0"/>
        <w:kinsoku/>
        <w:wordWrap/>
        <w:overflowPunct/>
        <w:topLinePunct w:val="0"/>
        <w:autoSpaceDE/>
        <w:autoSpaceDN/>
        <w:bidi w:val="0"/>
        <w:spacing w:line="240" w:lineRule="auto"/>
        <w:jc w:val="both"/>
        <w:textAlignment w:val="auto"/>
        <w:rPr>
          <w:color w:val="auto"/>
        </w:rPr>
      </w:pPr>
      <w:r>
        <w:rPr>
          <w:color w:val="auto"/>
        </w:rPr>
        <w:drawing>
          <wp:anchor distT="0" distB="0" distL="0" distR="0" simplePos="0" relativeHeight="251666432" behindDoc="0" locked="0" layoutInCell="1" allowOverlap="1">
            <wp:simplePos x="0" y="0"/>
            <wp:positionH relativeFrom="column">
              <wp:posOffset>2819400</wp:posOffset>
            </wp:positionH>
            <wp:positionV relativeFrom="paragraph">
              <wp:posOffset>9525</wp:posOffset>
            </wp:positionV>
            <wp:extent cx="2700020" cy="1673860"/>
            <wp:effectExtent l="0" t="0" r="9525" b="10160"/>
            <wp:wrapNone/>
            <wp:docPr id="274" name="image20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 name="image203.jpeg"/>
                    <pic:cNvPicPr>
                      <a:picLocks noChangeAspect="1"/>
                    </pic:cNvPicPr>
                  </pic:nvPicPr>
                  <pic:blipFill>
                    <a:blip r:embed="rId61" cstate="print"/>
                    <a:stretch>
                      <a:fillRect/>
                    </a:stretch>
                  </pic:blipFill>
                  <pic:spPr>
                    <a:xfrm>
                      <a:off x="0" y="0"/>
                      <a:ext cx="2700020" cy="1673860"/>
                    </a:xfrm>
                    <a:prstGeom prst="rect">
                      <a:avLst/>
                    </a:prstGeom>
                  </pic:spPr>
                </pic:pic>
              </a:graphicData>
            </a:graphic>
          </wp:anchor>
        </w:drawing>
      </w:r>
      <w:r>
        <w:rPr>
          <w:color w:val="auto"/>
        </w:rPr>
        <w:drawing>
          <wp:inline distT="0" distB="0" distL="0" distR="0">
            <wp:extent cx="2700020" cy="1661795"/>
            <wp:effectExtent l="0" t="0" r="9525" b="635"/>
            <wp:docPr id="455" name="image19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 name="image197.jpeg"/>
                    <pic:cNvPicPr>
                      <a:picLocks noChangeAspect="1"/>
                    </pic:cNvPicPr>
                  </pic:nvPicPr>
                  <pic:blipFill>
                    <a:blip r:embed="rId62" cstate="print"/>
                    <a:stretch>
                      <a:fillRect/>
                    </a:stretch>
                  </pic:blipFill>
                  <pic:spPr>
                    <a:xfrm>
                      <a:off x="0" y="0"/>
                      <a:ext cx="2700020" cy="1661795"/>
                    </a:xfrm>
                    <a:prstGeom prst="rect">
                      <a:avLst/>
                    </a:prstGeom>
                  </pic:spPr>
                </pic:pic>
              </a:graphicData>
            </a:graphic>
          </wp:inline>
        </w:drawing>
      </w:r>
      <w:r>
        <w:rPr>
          <w:rFonts w:hint="eastAsia"/>
          <w:color w:val="auto"/>
          <w:lang w:val="en-US" w:eastAsia="zh-CN"/>
        </w:rPr>
        <w:t xml:space="preserve"> </w:t>
      </w:r>
    </w:p>
    <w:p w14:paraId="427E6DA9">
      <w:pPr>
        <w:keepNext w:val="0"/>
        <w:keepLines w:val="0"/>
        <w:pageBreakBefore w:val="0"/>
        <w:widowControl w:val="0"/>
        <w:kinsoku/>
        <w:wordWrap/>
        <w:overflowPunct/>
        <w:topLinePunct w:val="0"/>
        <w:autoSpaceDE/>
        <w:autoSpaceDN/>
        <w:bidi w:val="0"/>
        <w:spacing w:line="240" w:lineRule="auto"/>
        <w:jc w:val="both"/>
        <w:textAlignment w:val="auto"/>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3.4.2排架做法 ：使用盘扣式钢管脚手架，墙、柱钢背楞加固</w:t>
      </w:r>
      <w:r>
        <w:rPr>
          <w:rFonts w:hint="eastAsia" w:hAnsi="宋体" w:cs="宋体"/>
          <w:color w:val="auto"/>
          <w:sz w:val="28"/>
          <w:szCs w:val="28"/>
          <w:lang w:val="en-US" w:eastAsia="zh-CN"/>
        </w:rPr>
        <w:t>体系，柱采用方圆扣。</w:t>
      </w:r>
      <w:r>
        <w:rPr>
          <w:rFonts w:hint="eastAsia" w:ascii="宋体" w:hAnsi="宋体" w:eastAsia="宋体" w:cs="宋体"/>
          <w:color w:val="auto"/>
          <w:sz w:val="28"/>
          <w:szCs w:val="28"/>
          <w:lang w:val="en-US" w:eastAsia="zh-CN"/>
        </w:rPr>
        <w:t>最底一道横向主楞距地≤300mm,顶部一道横向主楞 距离上层结构板底面≤400mm，其余主楞均匀布置且间距≤600mm。墙板阳角部位的主楞必须使用阳角锁具加固。</w:t>
      </w:r>
    </w:p>
    <w:p w14:paraId="144987B4">
      <w:pPr>
        <w:pStyle w:val="2"/>
        <w:keepNext w:val="0"/>
        <w:keepLines w:val="0"/>
        <w:pageBreakBefore w:val="0"/>
        <w:widowControl w:val="0"/>
        <w:kinsoku/>
        <w:wordWrap/>
        <w:overflowPunct/>
        <w:topLinePunct w:val="0"/>
        <w:autoSpaceDE/>
        <w:autoSpaceDN/>
        <w:bidi w:val="0"/>
        <w:spacing w:line="240" w:lineRule="auto"/>
        <w:jc w:val="both"/>
        <w:textAlignment w:val="auto"/>
        <w:rPr>
          <w:color w:val="auto"/>
        </w:rPr>
      </w:pPr>
      <w:r>
        <w:rPr>
          <w:rFonts w:hint="eastAsia"/>
          <w:color w:val="auto"/>
          <w:lang w:val="en-US" w:eastAsia="zh-CN"/>
        </w:rPr>
        <w:t xml:space="preserve">    </w:t>
      </w:r>
      <w:r>
        <w:rPr>
          <w:color w:val="auto"/>
        </w:rPr>
        <w:drawing>
          <wp:inline distT="0" distB="0" distL="114300" distR="114300">
            <wp:extent cx="2014855" cy="1783080"/>
            <wp:effectExtent l="0" t="0" r="3810" b="8890"/>
            <wp:docPr id="1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
                    <pic:cNvPicPr>
                      <a:picLocks noChangeAspect="1"/>
                    </pic:cNvPicPr>
                  </pic:nvPicPr>
                  <pic:blipFill>
                    <a:blip r:embed="rId63"/>
                    <a:stretch>
                      <a:fillRect/>
                    </a:stretch>
                  </pic:blipFill>
                  <pic:spPr>
                    <a:xfrm>
                      <a:off x="0" y="0"/>
                      <a:ext cx="2014855" cy="1783080"/>
                    </a:xfrm>
                    <a:prstGeom prst="rect">
                      <a:avLst/>
                    </a:prstGeom>
                    <a:noFill/>
                    <a:ln>
                      <a:noFill/>
                    </a:ln>
                  </pic:spPr>
                </pic:pic>
              </a:graphicData>
            </a:graphic>
          </wp:inline>
        </w:drawing>
      </w:r>
      <w:r>
        <w:rPr>
          <w:rFonts w:hint="eastAsia"/>
          <w:color w:val="auto"/>
          <w:lang w:val="en-US" w:eastAsia="zh-CN"/>
        </w:rPr>
        <w:t xml:space="preserve">       </w:t>
      </w:r>
      <w:r>
        <w:rPr>
          <w:rFonts w:ascii="宋体" w:hAnsi="宋体" w:eastAsia="宋体" w:cs="宋体"/>
          <w:color w:val="auto"/>
          <w:sz w:val="24"/>
          <w:szCs w:val="24"/>
        </w:rPr>
        <w:drawing>
          <wp:inline distT="0" distB="0" distL="114300" distR="114300">
            <wp:extent cx="2034540" cy="1765935"/>
            <wp:effectExtent l="0" t="0" r="5715" b="4445"/>
            <wp:docPr id="25" name="图片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 descr="IMG_256"/>
                    <pic:cNvPicPr>
                      <a:picLocks noChangeAspect="1"/>
                    </pic:cNvPicPr>
                  </pic:nvPicPr>
                  <pic:blipFill>
                    <a:blip r:embed="rId64"/>
                    <a:stretch>
                      <a:fillRect/>
                    </a:stretch>
                  </pic:blipFill>
                  <pic:spPr>
                    <a:xfrm>
                      <a:off x="0" y="0"/>
                      <a:ext cx="2034540" cy="1765935"/>
                    </a:xfrm>
                    <a:prstGeom prst="rect">
                      <a:avLst/>
                    </a:prstGeom>
                    <a:noFill/>
                    <a:ln w="9525">
                      <a:noFill/>
                    </a:ln>
                  </pic:spPr>
                </pic:pic>
              </a:graphicData>
            </a:graphic>
          </wp:inline>
        </w:drawing>
      </w:r>
    </w:p>
    <w:p w14:paraId="7BCEE3D0">
      <w:pPr>
        <w:pStyle w:val="2"/>
        <w:keepNext w:val="0"/>
        <w:keepLines w:val="0"/>
        <w:pageBreakBefore w:val="0"/>
        <w:widowControl w:val="0"/>
        <w:kinsoku/>
        <w:wordWrap/>
        <w:overflowPunct/>
        <w:topLinePunct w:val="0"/>
        <w:autoSpaceDE/>
        <w:autoSpaceDN/>
        <w:bidi w:val="0"/>
        <w:spacing w:line="240" w:lineRule="auto"/>
        <w:jc w:val="both"/>
        <w:textAlignment w:val="auto"/>
        <w:rPr>
          <w:color w:val="auto"/>
        </w:rPr>
      </w:pPr>
      <w:r>
        <w:rPr>
          <w:rFonts w:hint="eastAsia"/>
          <w:color w:val="auto"/>
          <w:lang w:val="en-US" w:eastAsia="zh-CN"/>
        </w:rPr>
        <w:t xml:space="preserve">   </w:t>
      </w:r>
      <w:r>
        <w:rPr>
          <w:color w:val="auto"/>
        </w:rPr>
        <w:drawing>
          <wp:inline distT="0" distB="0" distL="114300" distR="114300">
            <wp:extent cx="2085340" cy="1964690"/>
            <wp:effectExtent l="0" t="0" r="8890" b="0"/>
            <wp:docPr id="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2"/>
                    <pic:cNvPicPr>
                      <a:picLocks noChangeAspect="1"/>
                    </pic:cNvPicPr>
                  </pic:nvPicPr>
                  <pic:blipFill>
                    <a:blip r:embed="rId65"/>
                    <a:stretch>
                      <a:fillRect/>
                    </a:stretch>
                  </pic:blipFill>
                  <pic:spPr>
                    <a:xfrm>
                      <a:off x="0" y="0"/>
                      <a:ext cx="2085340" cy="1964690"/>
                    </a:xfrm>
                    <a:prstGeom prst="rect">
                      <a:avLst/>
                    </a:prstGeom>
                    <a:noFill/>
                    <a:ln>
                      <a:noFill/>
                    </a:ln>
                  </pic:spPr>
                </pic:pic>
              </a:graphicData>
            </a:graphic>
          </wp:inline>
        </w:drawing>
      </w:r>
      <w:r>
        <w:rPr>
          <w:rFonts w:hint="eastAsia"/>
          <w:color w:val="auto"/>
          <w:lang w:val="en-US" w:eastAsia="zh-CN"/>
        </w:rPr>
        <w:t xml:space="preserve">      </w:t>
      </w:r>
      <w:r>
        <w:rPr>
          <w:color w:val="auto"/>
        </w:rPr>
        <w:drawing>
          <wp:inline distT="0" distB="0" distL="114300" distR="114300">
            <wp:extent cx="2141855" cy="1977390"/>
            <wp:effectExtent l="0" t="0" r="6350" b="8890"/>
            <wp:docPr id="1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3"/>
                    <pic:cNvPicPr>
                      <a:picLocks noChangeAspect="1"/>
                    </pic:cNvPicPr>
                  </pic:nvPicPr>
                  <pic:blipFill>
                    <a:blip r:embed="rId66"/>
                    <a:stretch>
                      <a:fillRect/>
                    </a:stretch>
                  </pic:blipFill>
                  <pic:spPr>
                    <a:xfrm>
                      <a:off x="0" y="0"/>
                      <a:ext cx="2141855" cy="1977390"/>
                    </a:xfrm>
                    <a:prstGeom prst="rect">
                      <a:avLst/>
                    </a:prstGeom>
                    <a:noFill/>
                    <a:ln>
                      <a:noFill/>
                    </a:ln>
                  </pic:spPr>
                </pic:pic>
              </a:graphicData>
            </a:graphic>
          </wp:inline>
        </w:drawing>
      </w:r>
    </w:p>
    <w:p w14:paraId="421B6321">
      <w:pPr>
        <w:pStyle w:val="2"/>
        <w:keepNext w:val="0"/>
        <w:keepLines w:val="0"/>
        <w:pageBreakBefore w:val="0"/>
        <w:widowControl w:val="0"/>
        <w:kinsoku/>
        <w:wordWrap/>
        <w:overflowPunct/>
        <w:topLinePunct w:val="0"/>
        <w:autoSpaceDE/>
        <w:autoSpaceDN/>
        <w:bidi w:val="0"/>
        <w:spacing w:line="240" w:lineRule="auto"/>
        <w:jc w:val="both"/>
        <w:textAlignment w:val="auto"/>
        <w:rPr>
          <w:rFonts w:hint="default" w:eastAsia="宋体"/>
          <w:color w:val="auto"/>
          <w:lang w:val="en-US" w:eastAsia="zh-CN"/>
        </w:rPr>
      </w:pPr>
      <w:r>
        <w:rPr>
          <w:rFonts w:hint="eastAsia"/>
          <w:color w:val="auto"/>
          <w:lang w:val="en-US" w:eastAsia="zh-CN"/>
        </w:rPr>
        <w:t xml:space="preserve">   </w:t>
      </w:r>
      <w:r>
        <w:rPr>
          <w:rFonts w:hint="default" w:eastAsia="宋体"/>
          <w:color w:val="auto"/>
          <w:lang w:val="en-US" w:eastAsia="zh-CN"/>
        </w:rPr>
        <w:drawing>
          <wp:inline distT="0" distB="0" distL="114300" distR="114300">
            <wp:extent cx="2082165" cy="2103120"/>
            <wp:effectExtent l="0" t="0" r="1270" b="1905"/>
            <wp:docPr id="23" name="图片 23" descr="c59a2a69d46bd78c05db9ee947b92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c59a2a69d46bd78c05db9ee947b922a"/>
                    <pic:cNvPicPr>
                      <a:picLocks noChangeAspect="1"/>
                    </pic:cNvPicPr>
                  </pic:nvPicPr>
                  <pic:blipFill>
                    <a:blip r:embed="rId67"/>
                    <a:stretch>
                      <a:fillRect/>
                    </a:stretch>
                  </pic:blipFill>
                  <pic:spPr>
                    <a:xfrm>
                      <a:off x="0" y="0"/>
                      <a:ext cx="2082165" cy="2103120"/>
                    </a:xfrm>
                    <a:prstGeom prst="rect">
                      <a:avLst/>
                    </a:prstGeom>
                  </pic:spPr>
                </pic:pic>
              </a:graphicData>
            </a:graphic>
          </wp:inline>
        </w:drawing>
      </w:r>
      <w:r>
        <w:rPr>
          <w:rFonts w:hint="eastAsia"/>
          <w:color w:val="auto"/>
          <w:lang w:val="en-US" w:eastAsia="zh-CN"/>
        </w:rPr>
        <w:t xml:space="preserve">      </w:t>
      </w:r>
      <w:r>
        <w:rPr>
          <w:color w:val="auto"/>
        </w:rPr>
        <w:drawing>
          <wp:inline distT="0" distB="0" distL="114300" distR="114300">
            <wp:extent cx="1945640" cy="2064385"/>
            <wp:effectExtent l="0" t="0" r="8255" b="8255"/>
            <wp:docPr id="2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1"/>
                    <pic:cNvPicPr>
                      <a:picLocks noChangeAspect="1"/>
                    </pic:cNvPicPr>
                  </pic:nvPicPr>
                  <pic:blipFill>
                    <a:blip r:embed="rId68"/>
                    <a:stretch>
                      <a:fillRect/>
                    </a:stretch>
                  </pic:blipFill>
                  <pic:spPr>
                    <a:xfrm>
                      <a:off x="0" y="0"/>
                      <a:ext cx="1945640" cy="2064385"/>
                    </a:xfrm>
                    <a:prstGeom prst="rect">
                      <a:avLst/>
                    </a:prstGeom>
                    <a:noFill/>
                    <a:ln>
                      <a:noFill/>
                    </a:ln>
                  </pic:spPr>
                </pic:pic>
              </a:graphicData>
            </a:graphic>
          </wp:inline>
        </w:drawing>
      </w:r>
    </w:p>
    <w:p w14:paraId="20D7EC83">
      <w:pPr>
        <w:keepNext w:val="0"/>
        <w:keepLines w:val="0"/>
        <w:pageBreakBefore w:val="0"/>
        <w:widowControl w:val="0"/>
        <w:kinsoku/>
        <w:wordWrap/>
        <w:overflowPunct/>
        <w:topLinePunct w:val="0"/>
        <w:autoSpaceDE/>
        <w:autoSpaceDN/>
        <w:bidi w:val="0"/>
        <w:spacing w:line="240" w:lineRule="auto"/>
        <w:jc w:val="both"/>
        <w:textAlignment w:val="auto"/>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3.4.3 过梁一体施工：主体施工时根据建筑图，门洞口过梁可与主体结构梁整体支模并浇筑成型</w:t>
      </w:r>
      <w:r>
        <w:rPr>
          <w:rFonts w:hint="eastAsia" w:hAnsi="宋体" w:cs="宋体"/>
          <w:color w:val="auto"/>
          <w:sz w:val="28"/>
          <w:szCs w:val="28"/>
          <w:lang w:val="en-US" w:eastAsia="zh-CN"/>
        </w:rPr>
        <w:t>。</w:t>
      </w:r>
      <w:r>
        <w:rPr>
          <w:rFonts w:hint="eastAsia" w:ascii="宋体" w:hAnsi="宋体" w:eastAsia="宋体" w:cs="宋体"/>
          <w:color w:val="auto"/>
          <w:sz w:val="28"/>
          <w:szCs w:val="28"/>
          <w:lang w:val="en-US" w:eastAsia="zh-CN"/>
        </w:rPr>
        <w:t>梁高＞</w:t>
      </w:r>
      <w:r>
        <w:rPr>
          <w:rFonts w:hint="eastAsia" w:hAnsi="宋体" w:cs="宋体"/>
          <w:color w:val="auto"/>
          <w:sz w:val="28"/>
          <w:szCs w:val="28"/>
          <w:lang w:val="en-US" w:eastAsia="zh-CN"/>
        </w:rPr>
        <w:t>450</w:t>
      </w:r>
      <w:r>
        <w:rPr>
          <w:rFonts w:hint="eastAsia" w:ascii="宋体" w:hAnsi="宋体" w:eastAsia="宋体" w:cs="宋体"/>
          <w:color w:val="auto"/>
          <w:sz w:val="28"/>
          <w:szCs w:val="28"/>
          <w:lang w:val="en-US" w:eastAsia="zh-CN"/>
        </w:rPr>
        <w:t>mm 的过口模板：跨洞口处梁模板做 L型模板，墙次龙骨压制模板竖向拼缝处；抱箍钢管压制梁中间侧面木方，并尽量压制到墙的次龙骨，抱箍入梁 600mm，设 3 道对拉螺杆固定；梁侧底部侧面木方在墙边出断开，墙次龙骨伸至梁中间侧面木方处。梁高超过700mm时，梁侧模板宜加穿梁螺栓加固。</w:t>
      </w:r>
    </w:p>
    <w:p w14:paraId="5BC85F4D">
      <w:pPr>
        <w:pStyle w:val="2"/>
        <w:keepNext w:val="0"/>
        <w:keepLines w:val="0"/>
        <w:pageBreakBefore w:val="0"/>
        <w:widowControl w:val="0"/>
        <w:kinsoku/>
        <w:wordWrap/>
        <w:overflowPunct/>
        <w:topLinePunct w:val="0"/>
        <w:autoSpaceDE/>
        <w:autoSpaceDN/>
        <w:bidi w:val="0"/>
        <w:spacing w:line="240" w:lineRule="auto"/>
        <w:jc w:val="both"/>
        <w:textAlignment w:val="auto"/>
        <w:rPr>
          <w:rFonts w:hint="default"/>
          <w:color w:val="auto"/>
          <w:lang w:val="en-US" w:eastAsia="zh-CN"/>
        </w:rPr>
      </w:pPr>
      <w:r>
        <w:rPr>
          <w:color w:val="auto"/>
        </w:rPr>
        <w:drawing>
          <wp:anchor distT="0" distB="0" distL="0" distR="0" simplePos="0" relativeHeight="251667456" behindDoc="0" locked="0" layoutInCell="1" allowOverlap="1">
            <wp:simplePos x="0" y="0"/>
            <wp:positionH relativeFrom="column">
              <wp:posOffset>2809240</wp:posOffset>
            </wp:positionH>
            <wp:positionV relativeFrom="paragraph">
              <wp:posOffset>22225</wp:posOffset>
            </wp:positionV>
            <wp:extent cx="2700020" cy="1800225"/>
            <wp:effectExtent l="0" t="0" r="9525" b="2540"/>
            <wp:wrapNone/>
            <wp:docPr id="507" name="image2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 name="image218.png"/>
                    <pic:cNvPicPr>
                      <a:picLocks noChangeAspect="1"/>
                    </pic:cNvPicPr>
                  </pic:nvPicPr>
                  <pic:blipFill>
                    <a:blip r:embed="rId69" cstate="print"/>
                    <a:stretch>
                      <a:fillRect/>
                    </a:stretch>
                  </pic:blipFill>
                  <pic:spPr>
                    <a:xfrm>
                      <a:off x="0" y="0"/>
                      <a:ext cx="2700020" cy="1800225"/>
                    </a:xfrm>
                    <a:prstGeom prst="rect">
                      <a:avLst/>
                    </a:prstGeom>
                  </pic:spPr>
                </pic:pic>
              </a:graphicData>
            </a:graphic>
          </wp:anchor>
        </w:drawing>
      </w:r>
      <w:r>
        <w:rPr>
          <w:color w:val="auto"/>
        </w:rPr>
        <w:drawing>
          <wp:inline distT="0" distB="0" distL="0" distR="0">
            <wp:extent cx="2700020" cy="1296035"/>
            <wp:effectExtent l="0" t="0" r="9525" b="10160"/>
            <wp:docPr id="501" name="image2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 name="image216.png"/>
                    <pic:cNvPicPr>
                      <a:picLocks noChangeAspect="1"/>
                    </pic:cNvPicPr>
                  </pic:nvPicPr>
                  <pic:blipFill>
                    <a:blip r:embed="rId70" cstate="print"/>
                    <a:stretch>
                      <a:fillRect/>
                    </a:stretch>
                  </pic:blipFill>
                  <pic:spPr>
                    <a:xfrm>
                      <a:off x="0" y="0"/>
                      <a:ext cx="2700020" cy="1296035"/>
                    </a:xfrm>
                    <a:prstGeom prst="rect">
                      <a:avLst/>
                    </a:prstGeom>
                  </pic:spPr>
                </pic:pic>
              </a:graphicData>
            </a:graphic>
          </wp:inline>
        </w:drawing>
      </w:r>
      <w:r>
        <w:rPr>
          <w:rFonts w:hint="eastAsia"/>
          <w:color w:val="auto"/>
          <w:lang w:val="en-US" w:eastAsia="zh-CN"/>
        </w:rPr>
        <w:t xml:space="preserve"> </w:t>
      </w:r>
    </w:p>
    <w:p w14:paraId="3E5229FD">
      <w:pPr>
        <w:keepNext w:val="0"/>
        <w:keepLines w:val="0"/>
        <w:pageBreakBefore w:val="0"/>
        <w:widowControl w:val="0"/>
        <w:kinsoku/>
        <w:wordWrap/>
        <w:overflowPunct/>
        <w:topLinePunct w:val="0"/>
        <w:autoSpaceDE/>
        <w:autoSpaceDN/>
        <w:bidi w:val="0"/>
        <w:spacing w:line="240" w:lineRule="auto"/>
        <w:jc w:val="both"/>
        <w:textAlignment w:val="auto"/>
        <w:rPr>
          <w:rFonts w:hint="eastAsia" w:ascii="宋体" w:hAnsi="宋体" w:eastAsia="宋体" w:cs="宋体"/>
          <w:color w:val="auto"/>
          <w:sz w:val="28"/>
          <w:szCs w:val="28"/>
          <w:lang w:val="en-US" w:eastAsia="zh-CN"/>
        </w:rPr>
      </w:pPr>
    </w:p>
    <w:p w14:paraId="161C322C">
      <w:pPr>
        <w:keepNext w:val="0"/>
        <w:keepLines w:val="0"/>
        <w:pageBreakBefore w:val="0"/>
        <w:widowControl w:val="0"/>
        <w:kinsoku/>
        <w:wordWrap/>
        <w:overflowPunct/>
        <w:topLinePunct w:val="0"/>
        <w:autoSpaceDE/>
        <w:autoSpaceDN/>
        <w:bidi w:val="0"/>
        <w:spacing w:line="240" w:lineRule="auto"/>
        <w:jc w:val="both"/>
        <w:textAlignment w:val="auto"/>
        <w:rPr>
          <w:rFonts w:hint="eastAsia" w:ascii="宋体" w:hAnsi="宋体" w:eastAsia="宋体" w:cs="宋体"/>
          <w:color w:val="auto"/>
          <w:sz w:val="28"/>
          <w:szCs w:val="28"/>
          <w:lang w:val="en-US" w:eastAsia="zh-CN"/>
        </w:rPr>
      </w:pPr>
    </w:p>
    <w:p w14:paraId="565178A6">
      <w:pPr>
        <w:keepNext w:val="0"/>
        <w:keepLines w:val="0"/>
        <w:pageBreakBefore w:val="0"/>
        <w:widowControl w:val="0"/>
        <w:kinsoku/>
        <w:wordWrap/>
        <w:overflowPunct/>
        <w:topLinePunct w:val="0"/>
        <w:autoSpaceDE/>
        <w:autoSpaceDN/>
        <w:bidi w:val="0"/>
        <w:spacing w:line="240" w:lineRule="auto"/>
        <w:jc w:val="both"/>
        <w:textAlignment w:val="auto"/>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3.4.4外梁及楼梯间休息平台梁（外侧）增加对拉螺杆，间距≤600mm，螺杆对应梁部位放置内撑条</w:t>
      </w:r>
      <w:r>
        <w:rPr>
          <w:rFonts w:hint="eastAsia" w:hAnsi="宋体" w:cs="宋体"/>
          <w:color w:val="auto"/>
          <w:sz w:val="28"/>
          <w:szCs w:val="28"/>
          <w:lang w:val="en-US" w:eastAsia="zh-CN"/>
        </w:rPr>
        <w:t>,</w:t>
      </w:r>
      <w:r>
        <w:rPr>
          <w:rFonts w:hint="eastAsia" w:ascii="宋体" w:hAnsi="宋体" w:eastAsia="宋体" w:cs="宋体"/>
          <w:color w:val="auto"/>
          <w:sz w:val="28"/>
          <w:szCs w:val="28"/>
          <w:lang w:val="en-US" w:eastAsia="zh-CN"/>
        </w:rPr>
        <w:t>内撑条，间距≤800mm；内撑条须绑扎固定到位。</w:t>
      </w:r>
    </w:p>
    <w:p w14:paraId="3ABBBD65">
      <w:pPr>
        <w:pStyle w:val="2"/>
        <w:keepNext w:val="0"/>
        <w:keepLines w:val="0"/>
        <w:pageBreakBefore w:val="0"/>
        <w:widowControl w:val="0"/>
        <w:kinsoku/>
        <w:wordWrap/>
        <w:overflowPunct/>
        <w:topLinePunct w:val="0"/>
        <w:autoSpaceDE/>
        <w:autoSpaceDN/>
        <w:bidi w:val="0"/>
        <w:spacing w:line="240" w:lineRule="auto"/>
        <w:jc w:val="both"/>
        <w:textAlignment w:val="auto"/>
        <w:rPr>
          <w:color w:val="auto"/>
        </w:rPr>
      </w:pPr>
      <w:r>
        <w:rPr>
          <w:color w:val="auto"/>
        </w:rPr>
        <w:drawing>
          <wp:inline distT="0" distB="0" distL="0" distR="0">
            <wp:extent cx="2192020" cy="1694815"/>
            <wp:effectExtent l="0" t="0" r="10160" b="0"/>
            <wp:docPr id="511" name="image2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 name="image220.jpeg"/>
                    <pic:cNvPicPr>
                      <a:picLocks noChangeAspect="1"/>
                    </pic:cNvPicPr>
                  </pic:nvPicPr>
                  <pic:blipFill>
                    <a:blip r:embed="rId71" cstate="print"/>
                    <a:stretch>
                      <a:fillRect/>
                    </a:stretch>
                  </pic:blipFill>
                  <pic:spPr>
                    <a:xfrm>
                      <a:off x="0" y="0"/>
                      <a:ext cx="2192020" cy="1694815"/>
                    </a:xfrm>
                    <a:prstGeom prst="rect">
                      <a:avLst/>
                    </a:prstGeom>
                  </pic:spPr>
                </pic:pic>
              </a:graphicData>
            </a:graphic>
          </wp:inline>
        </w:drawing>
      </w:r>
      <w:r>
        <w:rPr>
          <w:rFonts w:hint="eastAsia"/>
          <w:color w:val="auto"/>
          <w:lang w:val="en-US" w:eastAsia="zh-CN"/>
        </w:rPr>
        <w:t xml:space="preserve">   </w:t>
      </w:r>
      <w:r>
        <w:rPr>
          <w:color w:val="auto"/>
        </w:rPr>
        <w:drawing>
          <wp:inline distT="0" distB="0" distL="0" distR="0">
            <wp:extent cx="2211070" cy="1704975"/>
            <wp:effectExtent l="0" t="0" r="1905" b="635"/>
            <wp:docPr id="515" name="image222.jpeg" descr="万科金色城品 (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5" name="image222.jpeg" descr="万科金色城品 (74).jpg"/>
                    <pic:cNvPicPr>
                      <a:picLocks noChangeAspect="1"/>
                    </pic:cNvPicPr>
                  </pic:nvPicPr>
                  <pic:blipFill>
                    <a:blip r:embed="rId72" cstate="print"/>
                    <a:stretch>
                      <a:fillRect/>
                    </a:stretch>
                  </pic:blipFill>
                  <pic:spPr>
                    <a:xfrm>
                      <a:off x="0" y="0"/>
                      <a:ext cx="2211070" cy="1704975"/>
                    </a:xfrm>
                    <a:prstGeom prst="rect">
                      <a:avLst/>
                    </a:prstGeom>
                  </pic:spPr>
                </pic:pic>
              </a:graphicData>
            </a:graphic>
          </wp:inline>
        </w:drawing>
      </w:r>
    </w:p>
    <w:p w14:paraId="61D3CCA3">
      <w:pPr>
        <w:keepNext w:val="0"/>
        <w:keepLines w:val="0"/>
        <w:pageBreakBefore w:val="0"/>
        <w:widowControl w:val="0"/>
        <w:kinsoku/>
        <w:wordWrap/>
        <w:overflowPunct/>
        <w:topLinePunct w:val="0"/>
        <w:autoSpaceDE/>
        <w:autoSpaceDN/>
        <w:bidi w:val="0"/>
        <w:spacing w:line="240" w:lineRule="auto"/>
        <w:jc w:val="both"/>
        <w:textAlignment w:val="auto"/>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3.4.5地下室外墙导墙吊模安装（吊模下方应设置支撑体系，如马凳等）</w:t>
      </w:r>
    </w:p>
    <w:p w14:paraId="4A48E1DD">
      <w:pPr>
        <w:pStyle w:val="2"/>
        <w:keepNext w:val="0"/>
        <w:keepLines w:val="0"/>
        <w:pageBreakBefore w:val="0"/>
        <w:widowControl w:val="0"/>
        <w:kinsoku/>
        <w:wordWrap/>
        <w:overflowPunct/>
        <w:topLinePunct w:val="0"/>
        <w:autoSpaceDE/>
        <w:autoSpaceDN/>
        <w:bidi w:val="0"/>
        <w:spacing w:line="240" w:lineRule="auto"/>
        <w:jc w:val="both"/>
        <w:textAlignment w:val="auto"/>
        <w:rPr>
          <w:color w:val="auto"/>
        </w:rPr>
      </w:pPr>
      <w:r>
        <w:rPr>
          <w:color w:val="auto"/>
        </w:rPr>
        <w:drawing>
          <wp:inline distT="0" distB="0" distL="0" distR="0">
            <wp:extent cx="2366645" cy="1763395"/>
            <wp:effectExtent l="0" t="0" r="8255" b="6985"/>
            <wp:docPr id="565" name="image2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5" name="image243.jpeg"/>
                    <pic:cNvPicPr>
                      <a:picLocks noChangeAspect="1"/>
                    </pic:cNvPicPr>
                  </pic:nvPicPr>
                  <pic:blipFill>
                    <a:blip r:embed="rId73" cstate="print"/>
                    <a:stretch>
                      <a:fillRect/>
                    </a:stretch>
                  </pic:blipFill>
                  <pic:spPr>
                    <a:xfrm>
                      <a:off x="0" y="0"/>
                      <a:ext cx="2366645" cy="1763395"/>
                    </a:xfrm>
                    <a:prstGeom prst="rect">
                      <a:avLst/>
                    </a:prstGeom>
                  </pic:spPr>
                </pic:pic>
              </a:graphicData>
            </a:graphic>
          </wp:inline>
        </w:drawing>
      </w:r>
    </w:p>
    <w:p w14:paraId="25A55B3E">
      <w:pPr>
        <w:keepNext w:val="0"/>
        <w:keepLines w:val="0"/>
        <w:pageBreakBefore w:val="0"/>
        <w:widowControl w:val="0"/>
        <w:kinsoku/>
        <w:wordWrap/>
        <w:overflowPunct/>
        <w:topLinePunct w:val="0"/>
        <w:autoSpaceDE/>
        <w:autoSpaceDN/>
        <w:bidi w:val="0"/>
        <w:spacing w:line="240" w:lineRule="auto"/>
        <w:jc w:val="both"/>
        <w:textAlignment w:val="auto"/>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3.4.6后浇带模板：后浇带采用</w:t>
      </w:r>
      <w:r>
        <w:rPr>
          <w:rFonts w:hint="eastAsia" w:hAnsi="宋体" w:cs="宋体"/>
          <w:color w:val="auto"/>
          <w:sz w:val="28"/>
          <w:szCs w:val="28"/>
          <w:lang w:val="en-US" w:eastAsia="zh-CN"/>
        </w:rPr>
        <w:t>热镀锌</w:t>
      </w:r>
      <w:r>
        <w:rPr>
          <w:rFonts w:hint="eastAsia" w:ascii="宋体" w:hAnsi="宋体" w:eastAsia="宋体" w:cs="宋体"/>
          <w:color w:val="auto"/>
          <w:sz w:val="28"/>
          <w:szCs w:val="28"/>
          <w:lang w:val="en-US" w:eastAsia="zh-CN"/>
        </w:rPr>
        <w:t>快易收口</w:t>
      </w:r>
      <w:r>
        <w:rPr>
          <w:rFonts w:hint="eastAsia" w:hAnsi="宋体" w:cs="宋体"/>
          <w:color w:val="auto"/>
          <w:sz w:val="28"/>
          <w:szCs w:val="28"/>
          <w:lang w:val="en-US" w:eastAsia="zh-CN"/>
        </w:rPr>
        <w:t>（鱼鳞网）</w:t>
      </w:r>
      <w:r>
        <w:rPr>
          <w:rFonts w:hint="eastAsia" w:ascii="宋体" w:hAnsi="宋体" w:eastAsia="宋体" w:cs="宋体"/>
          <w:color w:val="auto"/>
          <w:sz w:val="28"/>
          <w:szCs w:val="28"/>
          <w:lang w:val="en-US" w:eastAsia="zh-CN"/>
        </w:rPr>
        <w:t>网与钢筋骨架固定</w:t>
      </w:r>
    </w:p>
    <w:p w14:paraId="43C131B9">
      <w:pPr>
        <w:pStyle w:val="2"/>
        <w:keepNext w:val="0"/>
        <w:keepLines w:val="0"/>
        <w:pageBreakBefore w:val="0"/>
        <w:widowControl w:val="0"/>
        <w:kinsoku/>
        <w:wordWrap/>
        <w:overflowPunct/>
        <w:topLinePunct w:val="0"/>
        <w:autoSpaceDE/>
        <w:autoSpaceDN/>
        <w:bidi w:val="0"/>
        <w:spacing w:line="240" w:lineRule="auto"/>
        <w:jc w:val="both"/>
        <w:textAlignment w:val="auto"/>
        <w:rPr>
          <w:color w:val="auto"/>
        </w:rPr>
      </w:pPr>
      <w:r>
        <w:rPr>
          <w:color w:val="auto"/>
        </w:rPr>
        <w:drawing>
          <wp:inline distT="0" distB="0" distL="114300" distR="114300">
            <wp:extent cx="1572895" cy="1507490"/>
            <wp:effectExtent l="0" t="0" r="3175" b="3810"/>
            <wp:docPr id="1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5"/>
                    <pic:cNvPicPr>
                      <a:picLocks noChangeAspect="1"/>
                    </pic:cNvPicPr>
                  </pic:nvPicPr>
                  <pic:blipFill>
                    <a:blip r:embed="rId74"/>
                    <a:stretch>
                      <a:fillRect/>
                    </a:stretch>
                  </pic:blipFill>
                  <pic:spPr>
                    <a:xfrm>
                      <a:off x="0" y="0"/>
                      <a:ext cx="1572895" cy="1507490"/>
                    </a:xfrm>
                    <a:prstGeom prst="rect">
                      <a:avLst/>
                    </a:prstGeom>
                    <a:noFill/>
                    <a:ln>
                      <a:noFill/>
                    </a:ln>
                  </pic:spPr>
                </pic:pic>
              </a:graphicData>
            </a:graphic>
          </wp:inline>
        </w:drawing>
      </w:r>
      <w:r>
        <w:rPr>
          <w:rFonts w:hint="eastAsia"/>
          <w:color w:val="auto"/>
          <w:lang w:val="en-US" w:eastAsia="zh-CN"/>
        </w:rPr>
        <w:t xml:space="preserve"> </w:t>
      </w:r>
      <w:r>
        <w:rPr>
          <w:color w:val="auto"/>
        </w:rPr>
        <w:drawing>
          <wp:inline distT="0" distB="0" distL="114300" distR="114300">
            <wp:extent cx="1800860" cy="1504315"/>
            <wp:effectExtent l="0" t="0" r="1905" b="6985"/>
            <wp:docPr id="1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6"/>
                    <pic:cNvPicPr>
                      <a:picLocks noChangeAspect="1"/>
                    </pic:cNvPicPr>
                  </pic:nvPicPr>
                  <pic:blipFill>
                    <a:blip r:embed="rId75"/>
                    <a:stretch>
                      <a:fillRect/>
                    </a:stretch>
                  </pic:blipFill>
                  <pic:spPr>
                    <a:xfrm>
                      <a:off x="0" y="0"/>
                      <a:ext cx="1800860" cy="1504315"/>
                    </a:xfrm>
                    <a:prstGeom prst="rect">
                      <a:avLst/>
                    </a:prstGeom>
                    <a:noFill/>
                    <a:ln>
                      <a:noFill/>
                    </a:ln>
                  </pic:spPr>
                </pic:pic>
              </a:graphicData>
            </a:graphic>
          </wp:inline>
        </w:drawing>
      </w:r>
      <w:r>
        <w:rPr>
          <w:rFonts w:hint="eastAsia"/>
          <w:color w:val="auto"/>
          <w:lang w:val="en-US" w:eastAsia="zh-CN"/>
        </w:rPr>
        <w:t xml:space="preserve"> </w:t>
      </w:r>
      <w:r>
        <w:rPr>
          <w:color w:val="auto"/>
        </w:rPr>
        <w:drawing>
          <wp:inline distT="0" distB="0" distL="114300" distR="114300">
            <wp:extent cx="1823085" cy="1504315"/>
            <wp:effectExtent l="0" t="0" r="1270" b="6985"/>
            <wp:docPr id="20"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7"/>
                    <pic:cNvPicPr>
                      <a:picLocks noChangeAspect="1"/>
                    </pic:cNvPicPr>
                  </pic:nvPicPr>
                  <pic:blipFill>
                    <a:blip r:embed="rId76"/>
                    <a:stretch>
                      <a:fillRect/>
                    </a:stretch>
                  </pic:blipFill>
                  <pic:spPr>
                    <a:xfrm>
                      <a:off x="0" y="0"/>
                      <a:ext cx="1823085" cy="1504315"/>
                    </a:xfrm>
                    <a:prstGeom prst="rect">
                      <a:avLst/>
                    </a:prstGeom>
                    <a:noFill/>
                    <a:ln>
                      <a:noFill/>
                    </a:ln>
                  </pic:spPr>
                </pic:pic>
              </a:graphicData>
            </a:graphic>
          </wp:inline>
        </w:drawing>
      </w:r>
    </w:p>
    <w:p w14:paraId="112A438A">
      <w:pPr>
        <w:keepNext w:val="0"/>
        <w:keepLines w:val="0"/>
        <w:pageBreakBefore w:val="0"/>
        <w:widowControl w:val="0"/>
        <w:kinsoku/>
        <w:wordWrap/>
        <w:overflowPunct/>
        <w:topLinePunct w:val="0"/>
        <w:autoSpaceDE/>
        <w:autoSpaceDN/>
        <w:bidi w:val="0"/>
        <w:spacing w:line="240" w:lineRule="auto"/>
        <w:jc w:val="both"/>
        <w:textAlignment w:val="auto"/>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3.4.7后浇带支撑体系：后浇带应单独搭设支撑体系。</w:t>
      </w:r>
    </w:p>
    <w:p w14:paraId="098D2D84">
      <w:pPr>
        <w:pStyle w:val="2"/>
        <w:keepNext w:val="0"/>
        <w:keepLines w:val="0"/>
        <w:pageBreakBefore w:val="0"/>
        <w:widowControl w:val="0"/>
        <w:kinsoku/>
        <w:wordWrap/>
        <w:overflowPunct/>
        <w:topLinePunct w:val="0"/>
        <w:autoSpaceDE/>
        <w:autoSpaceDN/>
        <w:bidi w:val="0"/>
        <w:spacing w:line="240" w:lineRule="auto"/>
        <w:jc w:val="both"/>
        <w:textAlignment w:val="auto"/>
        <w:rPr>
          <w:color w:val="auto"/>
        </w:rPr>
      </w:pPr>
      <w:r>
        <w:rPr>
          <w:color w:val="auto"/>
        </w:rPr>
        <w:drawing>
          <wp:inline distT="0" distB="0" distL="0" distR="0">
            <wp:extent cx="2581910" cy="1531620"/>
            <wp:effectExtent l="0" t="0" r="8890" b="1270"/>
            <wp:docPr id="583" name="image2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3" name="image251.png"/>
                    <pic:cNvPicPr>
                      <a:picLocks noChangeAspect="1"/>
                    </pic:cNvPicPr>
                  </pic:nvPicPr>
                  <pic:blipFill>
                    <a:blip r:embed="rId77" cstate="print"/>
                    <a:stretch>
                      <a:fillRect/>
                    </a:stretch>
                  </pic:blipFill>
                  <pic:spPr>
                    <a:xfrm>
                      <a:off x="0" y="0"/>
                      <a:ext cx="2581910" cy="1531620"/>
                    </a:xfrm>
                    <a:prstGeom prst="rect">
                      <a:avLst/>
                    </a:prstGeom>
                  </pic:spPr>
                </pic:pic>
              </a:graphicData>
            </a:graphic>
          </wp:inline>
        </w:drawing>
      </w:r>
      <w:r>
        <w:rPr>
          <w:rFonts w:hint="eastAsia"/>
          <w:color w:val="auto"/>
          <w:lang w:val="en-US" w:eastAsia="zh-CN"/>
        </w:rPr>
        <w:t xml:space="preserve">  </w:t>
      </w:r>
      <w:r>
        <w:rPr>
          <w:color w:val="auto"/>
        </w:rPr>
        <w:drawing>
          <wp:inline distT="0" distB="0" distL="114300" distR="114300">
            <wp:extent cx="1990090" cy="1613535"/>
            <wp:effectExtent l="0" t="0" r="6985" b="5715"/>
            <wp:docPr id="17" name="图片 17" descr="f569750955bc1a6d9c267b6fdd84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f569750955bc1a6d9c267b6fdd84295"/>
                    <pic:cNvPicPr>
                      <a:picLocks noChangeAspect="1"/>
                    </pic:cNvPicPr>
                  </pic:nvPicPr>
                  <pic:blipFill>
                    <a:blip r:embed="rId78"/>
                    <a:stretch>
                      <a:fillRect/>
                    </a:stretch>
                  </pic:blipFill>
                  <pic:spPr>
                    <a:xfrm>
                      <a:off x="0" y="0"/>
                      <a:ext cx="1990090" cy="1613535"/>
                    </a:xfrm>
                    <a:prstGeom prst="rect">
                      <a:avLst/>
                    </a:prstGeom>
                  </pic:spPr>
                </pic:pic>
              </a:graphicData>
            </a:graphic>
          </wp:inline>
        </w:drawing>
      </w:r>
    </w:p>
    <w:p w14:paraId="358F9E08">
      <w:pPr>
        <w:keepNext w:val="0"/>
        <w:keepLines w:val="0"/>
        <w:pageBreakBefore w:val="0"/>
        <w:widowControl w:val="0"/>
        <w:kinsoku/>
        <w:wordWrap/>
        <w:overflowPunct/>
        <w:topLinePunct w:val="0"/>
        <w:autoSpaceDE/>
        <w:autoSpaceDN/>
        <w:bidi w:val="0"/>
        <w:spacing w:line="240" w:lineRule="auto"/>
        <w:jc w:val="both"/>
        <w:textAlignment w:val="auto"/>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3.4.8二次结构支撑采用卡箍加固，间距≤500mm；卧粱侧模上下口采用 50mm*100mm 方木；下口采用双面胶封堵缝隙，防止漏浆。</w:t>
      </w:r>
    </w:p>
    <w:p w14:paraId="5EDFD611">
      <w:pPr>
        <w:pStyle w:val="2"/>
        <w:keepNext w:val="0"/>
        <w:keepLines w:val="0"/>
        <w:pageBreakBefore w:val="0"/>
        <w:widowControl w:val="0"/>
        <w:kinsoku/>
        <w:wordWrap/>
        <w:overflowPunct/>
        <w:topLinePunct w:val="0"/>
        <w:autoSpaceDE/>
        <w:autoSpaceDN/>
        <w:bidi w:val="0"/>
        <w:spacing w:line="240" w:lineRule="auto"/>
        <w:jc w:val="both"/>
        <w:textAlignment w:val="auto"/>
        <w:rPr>
          <w:color w:val="auto"/>
        </w:rPr>
      </w:pPr>
      <w:r>
        <w:rPr>
          <w:color w:val="auto"/>
        </w:rPr>
        <w:drawing>
          <wp:inline distT="0" distB="0" distL="0" distR="0">
            <wp:extent cx="2510155" cy="1866900"/>
            <wp:effectExtent l="0" t="0" r="5080" b="635"/>
            <wp:docPr id="615" name="image26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 name="image264.jpeg"/>
                    <pic:cNvPicPr>
                      <a:picLocks noChangeAspect="1"/>
                    </pic:cNvPicPr>
                  </pic:nvPicPr>
                  <pic:blipFill>
                    <a:blip r:embed="rId79" cstate="print"/>
                    <a:stretch>
                      <a:fillRect/>
                    </a:stretch>
                  </pic:blipFill>
                  <pic:spPr>
                    <a:xfrm>
                      <a:off x="0" y="0"/>
                      <a:ext cx="2510155" cy="1866900"/>
                    </a:xfrm>
                    <a:prstGeom prst="rect">
                      <a:avLst/>
                    </a:prstGeom>
                  </pic:spPr>
                </pic:pic>
              </a:graphicData>
            </a:graphic>
          </wp:inline>
        </w:drawing>
      </w:r>
      <w:r>
        <w:rPr>
          <w:rFonts w:hint="eastAsia"/>
          <w:color w:val="auto"/>
          <w:lang w:val="en-US" w:eastAsia="zh-CN"/>
        </w:rPr>
        <w:t xml:space="preserve"> </w:t>
      </w:r>
      <w:r>
        <w:rPr>
          <w:color w:val="auto"/>
        </w:rPr>
        <w:drawing>
          <wp:inline distT="0" distB="0" distL="0" distR="0">
            <wp:extent cx="2484120" cy="1878965"/>
            <wp:effectExtent l="0" t="0" r="9525" b="10160"/>
            <wp:docPr id="621" name="image267.jpeg" descr="照片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1" name="image267.jpeg" descr="照片 372"/>
                    <pic:cNvPicPr>
                      <a:picLocks noChangeAspect="1"/>
                    </pic:cNvPicPr>
                  </pic:nvPicPr>
                  <pic:blipFill>
                    <a:blip r:embed="rId80" cstate="print"/>
                    <a:stretch>
                      <a:fillRect/>
                    </a:stretch>
                  </pic:blipFill>
                  <pic:spPr>
                    <a:xfrm>
                      <a:off x="0" y="0"/>
                      <a:ext cx="2484120" cy="1878965"/>
                    </a:xfrm>
                    <a:prstGeom prst="rect">
                      <a:avLst/>
                    </a:prstGeom>
                  </pic:spPr>
                </pic:pic>
              </a:graphicData>
            </a:graphic>
          </wp:inline>
        </w:drawing>
      </w:r>
    </w:p>
    <w:p w14:paraId="6E308E36">
      <w:pPr>
        <w:pStyle w:val="2"/>
        <w:keepNext w:val="0"/>
        <w:keepLines w:val="0"/>
        <w:pageBreakBefore w:val="0"/>
        <w:widowControl w:val="0"/>
        <w:kinsoku/>
        <w:wordWrap/>
        <w:overflowPunct/>
        <w:topLinePunct w:val="0"/>
        <w:autoSpaceDE/>
        <w:autoSpaceDN/>
        <w:bidi w:val="0"/>
        <w:spacing w:line="240" w:lineRule="auto"/>
        <w:jc w:val="both"/>
        <w:textAlignment w:val="auto"/>
        <w:rPr>
          <w:rFonts w:hint="eastAsia" w:eastAsia="宋体"/>
          <w:color w:val="auto"/>
          <w:lang w:val="en-US" w:eastAsia="zh-CN"/>
        </w:rPr>
      </w:pPr>
      <w:r>
        <w:rPr>
          <w:color w:val="auto"/>
        </w:rPr>
        <w:drawing>
          <wp:inline distT="0" distB="0" distL="0" distR="0">
            <wp:extent cx="2500630" cy="1720850"/>
            <wp:effectExtent l="0" t="0" r="3810" b="6350"/>
            <wp:docPr id="617" name="image26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7" name="image265.jpeg"/>
                    <pic:cNvPicPr>
                      <a:picLocks noChangeAspect="1"/>
                    </pic:cNvPicPr>
                  </pic:nvPicPr>
                  <pic:blipFill>
                    <a:blip r:embed="rId81" cstate="print"/>
                    <a:stretch>
                      <a:fillRect/>
                    </a:stretch>
                  </pic:blipFill>
                  <pic:spPr>
                    <a:xfrm>
                      <a:off x="0" y="0"/>
                      <a:ext cx="2500630" cy="1720850"/>
                    </a:xfrm>
                    <a:prstGeom prst="rect">
                      <a:avLst/>
                    </a:prstGeom>
                  </pic:spPr>
                </pic:pic>
              </a:graphicData>
            </a:graphic>
          </wp:inline>
        </w:drawing>
      </w:r>
      <w:r>
        <w:rPr>
          <w:rFonts w:hint="eastAsia"/>
          <w:color w:val="auto"/>
          <w:lang w:val="en-US" w:eastAsia="zh-CN"/>
        </w:rPr>
        <w:t xml:space="preserve"> </w:t>
      </w:r>
      <w:r>
        <w:rPr>
          <w:color w:val="auto"/>
        </w:rPr>
        <w:drawing>
          <wp:inline distT="0" distB="0" distL="0" distR="0">
            <wp:extent cx="2502535" cy="1718310"/>
            <wp:effectExtent l="0" t="0" r="1905" b="8890"/>
            <wp:docPr id="619" name="image26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9" name="image266.jpeg"/>
                    <pic:cNvPicPr>
                      <a:picLocks noChangeAspect="1"/>
                    </pic:cNvPicPr>
                  </pic:nvPicPr>
                  <pic:blipFill>
                    <a:blip r:embed="rId82" cstate="print"/>
                    <a:stretch>
                      <a:fillRect/>
                    </a:stretch>
                  </pic:blipFill>
                  <pic:spPr>
                    <a:xfrm>
                      <a:off x="0" y="0"/>
                      <a:ext cx="2502535" cy="1718310"/>
                    </a:xfrm>
                    <a:prstGeom prst="rect">
                      <a:avLst/>
                    </a:prstGeom>
                  </pic:spPr>
                </pic:pic>
              </a:graphicData>
            </a:graphic>
          </wp:inline>
        </w:drawing>
      </w:r>
      <w:r>
        <w:rPr>
          <w:rFonts w:hint="eastAsia"/>
          <w:color w:val="auto"/>
          <w:lang w:val="en-US" w:eastAsia="zh-CN"/>
        </w:rPr>
        <w:t xml:space="preserve"> </w:t>
      </w:r>
    </w:p>
    <w:p w14:paraId="23317625">
      <w:pPr>
        <w:keepNext w:val="0"/>
        <w:keepLines w:val="0"/>
        <w:pageBreakBefore w:val="0"/>
        <w:widowControl w:val="0"/>
        <w:kinsoku/>
        <w:wordWrap/>
        <w:overflowPunct/>
        <w:topLinePunct w:val="0"/>
        <w:autoSpaceDE/>
        <w:autoSpaceDN/>
        <w:bidi w:val="0"/>
        <w:spacing w:line="240" w:lineRule="auto"/>
        <w:jc w:val="both"/>
        <w:textAlignment w:val="auto"/>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3.4.9模板拼缝、孔洞封堵：钢筋绑扎前，模板表面缝宽≥1.5mm，采用胶带粘贴，避免漏浆。对废弃管线孔洞采用塑料胶塞封堵。</w:t>
      </w:r>
    </w:p>
    <w:p w14:paraId="17FBA616">
      <w:pPr>
        <w:pStyle w:val="2"/>
        <w:keepNext w:val="0"/>
        <w:keepLines w:val="0"/>
        <w:pageBreakBefore w:val="0"/>
        <w:widowControl w:val="0"/>
        <w:kinsoku/>
        <w:wordWrap/>
        <w:overflowPunct/>
        <w:topLinePunct w:val="0"/>
        <w:autoSpaceDE/>
        <w:autoSpaceDN/>
        <w:bidi w:val="0"/>
        <w:spacing w:line="240" w:lineRule="auto"/>
        <w:jc w:val="both"/>
        <w:textAlignment w:val="auto"/>
        <w:rPr>
          <w:color w:val="auto"/>
        </w:rPr>
      </w:pPr>
      <w:r>
        <w:rPr>
          <w:color w:val="auto"/>
        </w:rPr>
        <w:drawing>
          <wp:inline distT="0" distB="0" distL="0" distR="0">
            <wp:extent cx="2700020" cy="1701165"/>
            <wp:effectExtent l="0" t="0" r="9525" b="4445"/>
            <wp:docPr id="807" name="image344.jpeg" descr="图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 name="image344.jpeg" descr="图片"/>
                    <pic:cNvPicPr>
                      <a:picLocks noChangeAspect="1"/>
                    </pic:cNvPicPr>
                  </pic:nvPicPr>
                  <pic:blipFill>
                    <a:blip r:embed="rId83" cstate="print"/>
                    <a:stretch>
                      <a:fillRect/>
                    </a:stretch>
                  </pic:blipFill>
                  <pic:spPr>
                    <a:xfrm>
                      <a:off x="0" y="0"/>
                      <a:ext cx="2700020" cy="1701165"/>
                    </a:xfrm>
                    <a:prstGeom prst="rect">
                      <a:avLst/>
                    </a:prstGeom>
                  </pic:spPr>
                </pic:pic>
              </a:graphicData>
            </a:graphic>
          </wp:inline>
        </w:drawing>
      </w:r>
    </w:p>
    <w:p w14:paraId="177F7A69">
      <w:pPr>
        <w:keepNext w:val="0"/>
        <w:keepLines w:val="0"/>
        <w:pageBreakBefore w:val="0"/>
        <w:widowControl w:val="0"/>
        <w:kinsoku/>
        <w:wordWrap/>
        <w:overflowPunct/>
        <w:topLinePunct w:val="0"/>
        <w:autoSpaceDE/>
        <w:autoSpaceDN/>
        <w:bidi w:val="0"/>
        <w:spacing w:line="240" w:lineRule="auto"/>
        <w:jc w:val="both"/>
        <w:textAlignment w:val="auto"/>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3.4.10承插型盘扣式钢管支撑体系主要施工要点</w:t>
      </w:r>
    </w:p>
    <w:p w14:paraId="7DD54279">
      <w:pPr>
        <w:pStyle w:val="2"/>
        <w:keepNext w:val="0"/>
        <w:keepLines w:val="0"/>
        <w:pageBreakBefore w:val="0"/>
        <w:widowControl w:val="0"/>
        <w:kinsoku/>
        <w:wordWrap/>
        <w:overflowPunct/>
        <w:topLinePunct w:val="0"/>
        <w:autoSpaceDE/>
        <w:autoSpaceDN/>
        <w:bidi w:val="0"/>
        <w:spacing w:line="240" w:lineRule="auto"/>
        <w:jc w:val="both"/>
        <w:textAlignment w:val="auto"/>
        <w:rPr>
          <w:color w:val="auto"/>
        </w:rPr>
      </w:pPr>
      <w:r>
        <w:rPr>
          <w:color w:val="auto"/>
        </w:rPr>
        <w:drawing>
          <wp:inline distT="0" distB="0" distL="114300" distR="114300">
            <wp:extent cx="5684520" cy="2343150"/>
            <wp:effectExtent l="0" t="0" r="4445" b="10160"/>
            <wp:docPr id="2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3"/>
                    <pic:cNvPicPr>
                      <a:picLocks noChangeAspect="1"/>
                    </pic:cNvPicPr>
                  </pic:nvPicPr>
                  <pic:blipFill>
                    <a:blip r:embed="rId84"/>
                    <a:stretch>
                      <a:fillRect/>
                    </a:stretch>
                  </pic:blipFill>
                  <pic:spPr>
                    <a:xfrm>
                      <a:off x="0" y="0"/>
                      <a:ext cx="5684520" cy="2343150"/>
                    </a:xfrm>
                    <a:prstGeom prst="rect">
                      <a:avLst/>
                    </a:prstGeom>
                    <a:noFill/>
                    <a:ln>
                      <a:noFill/>
                    </a:ln>
                  </pic:spPr>
                </pic:pic>
              </a:graphicData>
            </a:graphic>
          </wp:inline>
        </w:drawing>
      </w:r>
    </w:p>
    <w:p w14:paraId="6743AC3E">
      <w:pPr>
        <w:pStyle w:val="2"/>
        <w:keepNext w:val="0"/>
        <w:keepLines w:val="0"/>
        <w:pageBreakBefore w:val="0"/>
        <w:widowControl w:val="0"/>
        <w:kinsoku/>
        <w:wordWrap/>
        <w:overflowPunct/>
        <w:topLinePunct w:val="0"/>
        <w:autoSpaceDE/>
        <w:autoSpaceDN/>
        <w:bidi w:val="0"/>
        <w:spacing w:line="240" w:lineRule="auto"/>
        <w:jc w:val="both"/>
        <w:textAlignment w:val="auto"/>
        <w:rPr>
          <w:color w:val="auto"/>
        </w:rPr>
      </w:pPr>
      <w:r>
        <w:rPr>
          <w:color w:val="auto"/>
        </w:rPr>
        <w:drawing>
          <wp:inline distT="0" distB="0" distL="114300" distR="114300">
            <wp:extent cx="5681345" cy="2475230"/>
            <wp:effectExtent l="0" t="0" r="7620" b="7620"/>
            <wp:docPr id="2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4"/>
                    <pic:cNvPicPr>
                      <a:picLocks noChangeAspect="1"/>
                    </pic:cNvPicPr>
                  </pic:nvPicPr>
                  <pic:blipFill>
                    <a:blip r:embed="rId85"/>
                    <a:stretch>
                      <a:fillRect/>
                    </a:stretch>
                  </pic:blipFill>
                  <pic:spPr>
                    <a:xfrm>
                      <a:off x="0" y="0"/>
                      <a:ext cx="5681345" cy="2475230"/>
                    </a:xfrm>
                    <a:prstGeom prst="rect">
                      <a:avLst/>
                    </a:prstGeom>
                    <a:noFill/>
                    <a:ln>
                      <a:noFill/>
                    </a:ln>
                  </pic:spPr>
                </pic:pic>
              </a:graphicData>
            </a:graphic>
          </wp:inline>
        </w:drawing>
      </w:r>
    </w:p>
    <w:p w14:paraId="2759D8A2">
      <w:pPr>
        <w:keepNext w:val="0"/>
        <w:keepLines w:val="0"/>
        <w:pageBreakBefore w:val="0"/>
        <w:widowControl w:val="0"/>
        <w:kinsoku/>
        <w:wordWrap/>
        <w:overflowPunct/>
        <w:topLinePunct w:val="0"/>
        <w:autoSpaceDE/>
        <w:autoSpaceDN/>
        <w:bidi w:val="0"/>
        <w:spacing w:line="240" w:lineRule="auto"/>
        <w:jc w:val="both"/>
        <w:textAlignment w:val="auto"/>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3.4.11降板模板设置做法</w:t>
      </w:r>
    </w:p>
    <w:p w14:paraId="0D7FA9FF">
      <w:pPr>
        <w:pStyle w:val="2"/>
        <w:keepNext w:val="0"/>
        <w:keepLines w:val="0"/>
        <w:pageBreakBefore w:val="0"/>
        <w:widowControl w:val="0"/>
        <w:kinsoku/>
        <w:wordWrap/>
        <w:overflowPunct/>
        <w:topLinePunct w:val="0"/>
        <w:autoSpaceDE/>
        <w:autoSpaceDN/>
        <w:bidi w:val="0"/>
        <w:spacing w:line="240" w:lineRule="auto"/>
        <w:jc w:val="both"/>
        <w:textAlignment w:val="auto"/>
        <w:rPr>
          <w:color w:val="auto"/>
        </w:rPr>
      </w:pPr>
      <w:r>
        <w:rPr>
          <w:color w:val="auto"/>
        </w:rPr>
        <w:drawing>
          <wp:inline distT="0" distB="0" distL="114300" distR="114300">
            <wp:extent cx="5686425" cy="2635885"/>
            <wp:effectExtent l="0" t="0" r="2540" b="8890"/>
            <wp:docPr id="2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5"/>
                    <pic:cNvPicPr>
                      <a:picLocks noChangeAspect="1"/>
                    </pic:cNvPicPr>
                  </pic:nvPicPr>
                  <pic:blipFill>
                    <a:blip r:embed="rId86"/>
                    <a:stretch>
                      <a:fillRect/>
                    </a:stretch>
                  </pic:blipFill>
                  <pic:spPr>
                    <a:xfrm>
                      <a:off x="0" y="0"/>
                      <a:ext cx="5686425" cy="2635885"/>
                    </a:xfrm>
                    <a:prstGeom prst="rect">
                      <a:avLst/>
                    </a:prstGeom>
                    <a:noFill/>
                    <a:ln>
                      <a:noFill/>
                    </a:ln>
                  </pic:spPr>
                </pic:pic>
              </a:graphicData>
            </a:graphic>
          </wp:inline>
        </w:drawing>
      </w:r>
    </w:p>
    <w:p w14:paraId="4509FF11">
      <w:pPr>
        <w:pStyle w:val="2"/>
        <w:keepNext w:val="0"/>
        <w:keepLines w:val="0"/>
        <w:pageBreakBefore w:val="0"/>
        <w:widowControl w:val="0"/>
        <w:kinsoku/>
        <w:wordWrap/>
        <w:overflowPunct/>
        <w:topLinePunct w:val="0"/>
        <w:autoSpaceDE/>
        <w:autoSpaceDN/>
        <w:bidi w:val="0"/>
        <w:spacing w:line="240" w:lineRule="auto"/>
        <w:jc w:val="both"/>
        <w:textAlignment w:val="auto"/>
        <w:rPr>
          <w:color w:val="auto"/>
        </w:rPr>
      </w:pPr>
    </w:p>
    <w:p w14:paraId="2FF1A50C">
      <w:pPr>
        <w:keepNext w:val="0"/>
        <w:keepLines w:val="0"/>
        <w:pageBreakBefore w:val="0"/>
        <w:widowControl w:val="0"/>
        <w:kinsoku/>
        <w:wordWrap/>
        <w:overflowPunct/>
        <w:topLinePunct w:val="0"/>
        <w:autoSpaceDE/>
        <w:autoSpaceDN/>
        <w:bidi w:val="0"/>
        <w:spacing w:line="240" w:lineRule="auto"/>
        <w:jc w:val="both"/>
        <w:textAlignment w:val="auto"/>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3.4.12楼梯模板</w:t>
      </w:r>
    </w:p>
    <w:p w14:paraId="1834192D">
      <w:pPr>
        <w:pStyle w:val="2"/>
        <w:keepNext w:val="0"/>
        <w:keepLines w:val="0"/>
        <w:pageBreakBefore w:val="0"/>
        <w:widowControl w:val="0"/>
        <w:kinsoku/>
        <w:wordWrap/>
        <w:overflowPunct/>
        <w:topLinePunct w:val="0"/>
        <w:autoSpaceDE/>
        <w:autoSpaceDN/>
        <w:bidi w:val="0"/>
        <w:spacing w:line="240" w:lineRule="auto"/>
        <w:jc w:val="both"/>
        <w:textAlignment w:val="auto"/>
        <w:rPr>
          <w:rFonts w:hint="default"/>
          <w:color w:val="auto"/>
          <w:lang w:val="en-US" w:eastAsia="zh-CN"/>
        </w:rPr>
      </w:pPr>
      <w:r>
        <w:rPr>
          <w:color w:val="auto"/>
        </w:rPr>
        <w:drawing>
          <wp:inline distT="0" distB="0" distL="114300" distR="114300">
            <wp:extent cx="5678805" cy="2400300"/>
            <wp:effectExtent l="0" t="0" r="10160" b="6985"/>
            <wp:docPr id="2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6"/>
                    <pic:cNvPicPr>
                      <a:picLocks noChangeAspect="1"/>
                    </pic:cNvPicPr>
                  </pic:nvPicPr>
                  <pic:blipFill>
                    <a:blip r:embed="rId87"/>
                    <a:stretch>
                      <a:fillRect/>
                    </a:stretch>
                  </pic:blipFill>
                  <pic:spPr>
                    <a:xfrm>
                      <a:off x="0" y="0"/>
                      <a:ext cx="5678805" cy="2400300"/>
                    </a:xfrm>
                    <a:prstGeom prst="rect">
                      <a:avLst/>
                    </a:prstGeom>
                    <a:noFill/>
                    <a:ln>
                      <a:noFill/>
                    </a:ln>
                  </pic:spPr>
                </pic:pic>
              </a:graphicData>
            </a:graphic>
          </wp:inline>
        </w:drawing>
      </w:r>
    </w:p>
    <w:p w14:paraId="529C0AD5">
      <w:pPr>
        <w:keepNext w:val="0"/>
        <w:keepLines w:val="0"/>
        <w:pageBreakBefore w:val="0"/>
        <w:widowControl w:val="0"/>
        <w:kinsoku/>
        <w:wordWrap/>
        <w:overflowPunct/>
        <w:topLinePunct w:val="0"/>
        <w:autoSpaceDE/>
        <w:autoSpaceDN/>
        <w:bidi w:val="0"/>
        <w:spacing w:line="240" w:lineRule="auto"/>
        <w:jc w:val="both"/>
        <w:textAlignment w:val="auto"/>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3.4.13防水反坎</w:t>
      </w:r>
    </w:p>
    <w:p w14:paraId="1B6F41F2">
      <w:pPr>
        <w:pStyle w:val="2"/>
        <w:keepNext w:val="0"/>
        <w:keepLines w:val="0"/>
        <w:pageBreakBefore w:val="0"/>
        <w:widowControl w:val="0"/>
        <w:kinsoku/>
        <w:wordWrap/>
        <w:overflowPunct/>
        <w:topLinePunct w:val="0"/>
        <w:autoSpaceDE/>
        <w:autoSpaceDN/>
        <w:bidi w:val="0"/>
        <w:spacing w:line="240" w:lineRule="auto"/>
        <w:jc w:val="both"/>
        <w:textAlignment w:val="auto"/>
        <w:rPr>
          <w:rFonts w:hint="default"/>
          <w:color w:val="auto"/>
          <w:lang w:val="en-US" w:eastAsia="zh-CN"/>
        </w:rPr>
      </w:pPr>
      <w:r>
        <w:rPr>
          <w:color w:val="auto"/>
        </w:rPr>
        <w:drawing>
          <wp:inline distT="0" distB="0" distL="114300" distR="114300">
            <wp:extent cx="5678805" cy="2621280"/>
            <wp:effectExtent l="0" t="0" r="10160" b="1905"/>
            <wp:docPr id="30"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7"/>
                    <pic:cNvPicPr>
                      <a:picLocks noChangeAspect="1"/>
                    </pic:cNvPicPr>
                  </pic:nvPicPr>
                  <pic:blipFill>
                    <a:blip r:embed="rId88"/>
                    <a:stretch>
                      <a:fillRect/>
                    </a:stretch>
                  </pic:blipFill>
                  <pic:spPr>
                    <a:xfrm>
                      <a:off x="0" y="0"/>
                      <a:ext cx="5678805" cy="2621280"/>
                    </a:xfrm>
                    <a:prstGeom prst="rect">
                      <a:avLst/>
                    </a:prstGeom>
                    <a:noFill/>
                    <a:ln>
                      <a:noFill/>
                    </a:ln>
                  </pic:spPr>
                </pic:pic>
              </a:graphicData>
            </a:graphic>
          </wp:inline>
        </w:drawing>
      </w:r>
    </w:p>
    <w:p w14:paraId="469AD2EE">
      <w:pPr>
        <w:keepNext w:val="0"/>
        <w:keepLines w:val="0"/>
        <w:pageBreakBefore w:val="0"/>
        <w:widowControl w:val="0"/>
        <w:kinsoku/>
        <w:wordWrap/>
        <w:overflowPunct/>
        <w:topLinePunct w:val="0"/>
        <w:autoSpaceDE/>
        <w:autoSpaceDN/>
        <w:bidi w:val="0"/>
        <w:spacing w:line="240" w:lineRule="auto"/>
        <w:jc w:val="both"/>
        <w:textAlignment w:val="auto"/>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3.4.14防错台、漏浆做法</w:t>
      </w:r>
    </w:p>
    <w:p w14:paraId="02416B0C">
      <w:pPr>
        <w:pStyle w:val="2"/>
        <w:keepNext w:val="0"/>
        <w:keepLines w:val="0"/>
        <w:pageBreakBefore w:val="0"/>
        <w:widowControl w:val="0"/>
        <w:kinsoku/>
        <w:wordWrap/>
        <w:overflowPunct/>
        <w:topLinePunct w:val="0"/>
        <w:autoSpaceDE/>
        <w:autoSpaceDN/>
        <w:bidi w:val="0"/>
        <w:spacing w:line="240" w:lineRule="auto"/>
        <w:jc w:val="both"/>
        <w:textAlignment w:val="auto"/>
        <w:rPr>
          <w:rFonts w:hint="default"/>
          <w:color w:val="auto"/>
          <w:lang w:val="en-US" w:eastAsia="zh-CN"/>
        </w:rPr>
      </w:pPr>
      <w:r>
        <w:rPr>
          <w:color w:val="auto"/>
        </w:rPr>
        <w:drawing>
          <wp:inline distT="0" distB="0" distL="114300" distR="114300">
            <wp:extent cx="5683885" cy="2385695"/>
            <wp:effectExtent l="0" t="0" r="5080" b="0"/>
            <wp:docPr id="31"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8"/>
                    <pic:cNvPicPr>
                      <a:picLocks noChangeAspect="1"/>
                    </pic:cNvPicPr>
                  </pic:nvPicPr>
                  <pic:blipFill>
                    <a:blip r:embed="rId89"/>
                    <a:stretch>
                      <a:fillRect/>
                    </a:stretch>
                  </pic:blipFill>
                  <pic:spPr>
                    <a:xfrm>
                      <a:off x="0" y="0"/>
                      <a:ext cx="5683885" cy="2385695"/>
                    </a:xfrm>
                    <a:prstGeom prst="rect">
                      <a:avLst/>
                    </a:prstGeom>
                    <a:noFill/>
                    <a:ln>
                      <a:noFill/>
                    </a:ln>
                  </pic:spPr>
                </pic:pic>
              </a:graphicData>
            </a:graphic>
          </wp:inline>
        </w:drawing>
      </w:r>
    </w:p>
    <w:p w14:paraId="3DA0ABC2">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left="480" w:leftChars="200"/>
        <w:jc w:val="both"/>
        <w:textAlignment w:val="auto"/>
        <w:rPr>
          <w:rFonts w:hint="eastAsia" w:ascii="宋体" w:hAnsi="宋体" w:eastAsia="宋体" w:cs="宋体"/>
          <w:b/>
          <w:bCs/>
          <w:color w:val="auto"/>
          <w:kern w:val="2"/>
          <w:sz w:val="28"/>
          <w:szCs w:val="28"/>
        </w:rPr>
      </w:pPr>
      <w:r>
        <w:rPr>
          <w:rFonts w:hint="eastAsia" w:ascii="宋体" w:hAnsi="宋体" w:eastAsia="宋体" w:cs="宋体"/>
          <w:b/>
          <w:bCs/>
          <w:color w:val="auto"/>
          <w:kern w:val="2"/>
          <w:sz w:val="28"/>
          <w:szCs w:val="28"/>
          <w:lang w:val="en-US" w:eastAsia="zh-CN"/>
        </w:rPr>
        <w:t>四</w:t>
      </w:r>
      <w:r>
        <w:rPr>
          <w:rFonts w:hint="eastAsia" w:ascii="宋体" w:hAnsi="宋体" w:eastAsia="宋体" w:cs="宋体"/>
          <w:b/>
          <w:bCs/>
          <w:color w:val="auto"/>
          <w:kern w:val="2"/>
          <w:sz w:val="28"/>
          <w:szCs w:val="28"/>
        </w:rPr>
        <w:t>、其他要求：</w:t>
      </w:r>
    </w:p>
    <w:p w14:paraId="5DB1E709">
      <w:pPr>
        <w:keepNext w:val="0"/>
        <w:keepLines w:val="0"/>
        <w:pageBreakBefore w:val="0"/>
        <w:widowControl w:val="0"/>
        <w:kinsoku/>
        <w:wordWrap/>
        <w:overflowPunct/>
        <w:topLinePunct w:val="0"/>
        <w:autoSpaceDE/>
        <w:autoSpaceDN/>
        <w:bidi w:val="0"/>
        <w:adjustRightInd w:val="0"/>
        <w:snapToGrid w:val="0"/>
        <w:spacing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lang w:val="en-US" w:eastAsia="zh-CN"/>
        </w:rPr>
        <w:t>1、</w:t>
      </w:r>
      <w:r>
        <w:rPr>
          <w:rFonts w:hint="eastAsia" w:ascii="宋体" w:hAnsi="宋体" w:eastAsia="宋体" w:cs="宋体"/>
          <w:color w:val="auto"/>
          <w:sz w:val="28"/>
          <w:szCs w:val="28"/>
        </w:rPr>
        <w:t>若投标人供应不能满足招标人施工需求，招标人有权增加供应商；</w:t>
      </w:r>
    </w:p>
    <w:p w14:paraId="2DAB6F9F">
      <w:pPr>
        <w:keepNext w:val="0"/>
        <w:keepLines w:val="0"/>
        <w:pageBreakBefore w:val="0"/>
        <w:widowControl w:val="0"/>
        <w:kinsoku/>
        <w:wordWrap/>
        <w:overflowPunct/>
        <w:topLinePunct w:val="0"/>
        <w:autoSpaceDE/>
        <w:autoSpaceDN/>
        <w:bidi w:val="0"/>
        <w:adjustRightInd w:val="0"/>
        <w:snapToGrid w:val="0"/>
        <w:spacing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lang w:val="en-US" w:eastAsia="zh-CN"/>
        </w:rPr>
        <w:t>2、</w:t>
      </w:r>
      <w:r>
        <w:rPr>
          <w:rFonts w:hint="eastAsia" w:ascii="宋体" w:hAnsi="宋体" w:eastAsia="宋体" w:cs="宋体"/>
          <w:color w:val="auto"/>
          <w:sz w:val="28"/>
          <w:szCs w:val="28"/>
        </w:rPr>
        <w:t>满足项目总工期要求，中标项目经理必须常驻工地，具体根据招标人的节点具体进度计划要求，以书面通知为准。据建设单位工期要求，投标人要无条件配合招标人开展抢（赶）工作业，不得以任何理由向招标人索要抢工费用，如因投标人原因造成施工过程中达不到建设单位定期考核的节点目标，自愿接收项目部一切处罚。</w:t>
      </w:r>
    </w:p>
    <w:p w14:paraId="06EDF050">
      <w:pPr>
        <w:keepNext w:val="0"/>
        <w:keepLines w:val="0"/>
        <w:pageBreakBefore w:val="0"/>
        <w:widowControl w:val="0"/>
        <w:kinsoku/>
        <w:wordWrap/>
        <w:overflowPunct/>
        <w:topLinePunct w:val="0"/>
        <w:autoSpaceDE/>
        <w:autoSpaceDN/>
        <w:bidi w:val="0"/>
        <w:adjustRightInd w:val="0"/>
        <w:snapToGrid w:val="0"/>
        <w:spacing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rPr>
        <w:t>3、在施工期间，因天气、地方施工环境等原因造成的设备、人员的停工，停工损失由投标人自行承担（不可抗力除外）。</w:t>
      </w:r>
    </w:p>
    <w:p w14:paraId="4EB8EE12">
      <w:pPr>
        <w:keepNext w:val="0"/>
        <w:keepLines w:val="0"/>
        <w:pageBreakBefore w:val="0"/>
        <w:widowControl w:val="0"/>
        <w:kinsoku/>
        <w:wordWrap/>
        <w:overflowPunct/>
        <w:topLinePunct w:val="0"/>
        <w:autoSpaceDE/>
        <w:autoSpaceDN/>
        <w:bidi w:val="0"/>
        <w:adjustRightInd w:val="0"/>
        <w:snapToGrid w:val="0"/>
        <w:spacing w:line="240" w:lineRule="auto"/>
        <w:ind w:firstLine="560" w:firstLineChars="200"/>
        <w:jc w:val="both"/>
        <w:textAlignment w:val="auto"/>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4、中标人需严格落实招标人现场劳务实名制管理，对于招标人现场实名制考勤系统出具的考勤表，中标人需配合签字确认，如因中标人未签字确认导致工人工资无法发放，所有责任由中标人承担。</w:t>
      </w:r>
    </w:p>
    <w:p w14:paraId="2D13B733">
      <w:pPr>
        <w:keepNext w:val="0"/>
        <w:keepLines w:val="0"/>
        <w:pageBreakBefore w:val="0"/>
        <w:widowControl w:val="0"/>
        <w:kinsoku/>
        <w:wordWrap/>
        <w:overflowPunct/>
        <w:topLinePunct w:val="0"/>
        <w:autoSpaceDE/>
        <w:autoSpaceDN/>
        <w:bidi w:val="0"/>
        <w:adjustRightInd w:val="0"/>
        <w:snapToGrid w:val="0"/>
        <w:spacing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lang w:val="en-US" w:eastAsia="zh-CN"/>
        </w:rPr>
        <w:t>5</w:t>
      </w:r>
      <w:r>
        <w:rPr>
          <w:rFonts w:hint="eastAsia" w:ascii="宋体" w:hAnsi="宋体" w:eastAsia="宋体" w:cs="宋体"/>
          <w:color w:val="auto"/>
          <w:sz w:val="28"/>
          <w:szCs w:val="28"/>
        </w:rPr>
        <w:t>、严禁转包中标工作内容，如发现按违约处理，清退出场，赔偿招标人损失，已完成工作量折扣结算；</w:t>
      </w:r>
    </w:p>
    <w:p w14:paraId="442887B1">
      <w:pPr>
        <w:keepNext w:val="0"/>
        <w:keepLines w:val="0"/>
        <w:pageBreakBefore w:val="0"/>
        <w:widowControl w:val="0"/>
        <w:kinsoku/>
        <w:wordWrap/>
        <w:overflowPunct/>
        <w:topLinePunct w:val="0"/>
        <w:autoSpaceDE/>
        <w:autoSpaceDN/>
        <w:bidi w:val="0"/>
        <w:adjustRightInd w:val="0"/>
        <w:snapToGrid w:val="0"/>
        <w:spacing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lang w:val="en-US" w:eastAsia="zh-CN"/>
        </w:rPr>
        <w:t>6、</w:t>
      </w:r>
      <w:r>
        <w:rPr>
          <w:rFonts w:hint="eastAsia" w:ascii="宋体" w:hAnsi="宋体" w:eastAsia="宋体" w:cs="宋体"/>
          <w:color w:val="auto"/>
          <w:sz w:val="28"/>
          <w:szCs w:val="28"/>
        </w:rPr>
        <w:t>招标人将对中标人履约能力进行考评，不能满足施工要求或不配合招标人工作指令的，招标人可单方面解除合同。如给造成招标人损失将该中标人列入公司黑名单，限制在我公司的投标资格；如发生农民工投诉或给公司声誉造成不良影响的事件，直接列入公司黑名单，限制在我公司的投标资格。</w:t>
      </w:r>
    </w:p>
    <w:p w14:paraId="268E680F">
      <w:pPr>
        <w:keepNext w:val="0"/>
        <w:keepLines w:val="0"/>
        <w:pageBreakBefore w:val="0"/>
        <w:widowControl w:val="0"/>
        <w:kinsoku/>
        <w:wordWrap/>
        <w:overflowPunct/>
        <w:topLinePunct w:val="0"/>
        <w:autoSpaceDE/>
        <w:autoSpaceDN/>
        <w:bidi w:val="0"/>
        <w:adjustRightInd w:val="0"/>
        <w:snapToGrid w:val="0"/>
        <w:spacing w:line="240" w:lineRule="auto"/>
        <w:ind w:firstLine="560" w:firstLineChars="200"/>
        <w:jc w:val="both"/>
        <w:textAlignment w:val="auto"/>
        <w:rPr>
          <w:rFonts w:hint="eastAsia" w:ascii="宋体" w:hAnsi="宋体" w:eastAsia="宋体" w:cs="宋体"/>
          <w:color w:val="auto"/>
          <w:sz w:val="28"/>
          <w:szCs w:val="28"/>
        </w:rPr>
      </w:pPr>
      <w:r>
        <w:rPr>
          <w:rFonts w:hint="eastAsia" w:ascii="宋体" w:hAnsi="宋体" w:eastAsia="宋体" w:cs="宋体"/>
          <w:color w:val="auto"/>
          <w:sz w:val="28"/>
          <w:szCs w:val="28"/>
          <w:lang w:val="en-US" w:eastAsia="zh-CN"/>
        </w:rPr>
        <w:t>7、</w:t>
      </w:r>
      <w:r>
        <w:rPr>
          <w:rFonts w:hint="eastAsia" w:ascii="宋体" w:hAnsi="宋体" w:eastAsia="宋体" w:cs="宋体"/>
          <w:color w:val="auto"/>
          <w:sz w:val="28"/>
          <w:szCs w:val="28"/>
        </w:rPr>
        <w:t>招标人提供轴线（大线）、控制线和控制点标高，中标单位进行剩余测量放线工作。每道工序完成后报项目部复核签字。</w:t>
      </w:r>
    </w:p>
    <w:p w14:paraId="6995CE09">
      <w:pPr>
        <w:keepNext w:val="0"/>
        <w:keepLines w:val="0"/>
        <w:pageBreakBefore w:val="0"/>
        <w:widowControl w:val="0"/>
        <w:kinsoku/>
        <w:wordWrap/>
        <w:overflowPunct/>
        <w:topLinePunct w:val="0"/>
        <w:autoSpaceDE/>
        <w:autoSpaceDN/>
        <w:bidi w:val="0"/>
        <w:adjustRightInd w:val="0"/>
        <w:snapToGrid w:val="0"/>
        <w:spacing w:line="240" w:lineRule="auto"/>
        <w:ind w:firstLine="560" w:firstLineChars="200"/>
        <w:jc w:val="both"/>
        <w:textAlignment w:val="auto"/>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8、零星调工：</w:t>
      </w:r>
    </w:p>
    <w:p w14:paraId="4EED5959">
      <w:pPr>
        <w:keepNext w:val="0"/>
        <w:keepLines w:val="0"/>
        <w:pageBreakBefore w:val="0"/>
        <w:widowControl w:val="0"/>
        <w:kinsoku/>
        <w:wordWrap/>
        <w:overflowPunct/>
        <w:topLinePunct w:val="0"/>
        <w:autoSpaceDE/>
        <w:autoSpaceDN/>
        <w:bidi w:val="0"/>
        <w:adjustRightInd/>
        <w:spacing w:line="240" w:lineRule="auto"/>
        <w:ind w:firstLine="560" w:firstLineChars="200"/>
        <w:jc w:val="both"/>
        <w:textAlignment w:val="auto"/>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（1）签字齐全，调用人、班组负责人、验收人签字，临时用工签字，涉及扣除的，须有责任班组和单位（授权）负责人签字确认；</w:t>
      </w:r>
    </w:p>
    <w:p w14:paraId="7D98F1E0">
      <w:pPr>
        <w:keepNext w:val="0"/>
        <w:keepLines w:val="0"/>
        <w:pageBreakBefore w:val="0"/>
        <w:widowControl w:val="0"/>
        <w:kinsoku/>
        <w:wordWrap/>
        <w:overflowPunct/>
        <w:topLinePunct w:val="0"/>
        <w:autoSpaceDE/>
        <w:autoSpaceDN/>
        <w:bidi w:val="0"/>
        <w:adjustRightInd/>
        <w:spacing w:line="240" w:lineRule="auto"/>
        <w:ind w:firstLine="560" w:firstLineChars="200"/>
        <w:jc w:val="both"/>
        <w:textAlignment w:val="auto"/>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（2）记录详细工作内容，临时用工须注明工种、大工小工，作业起始和完成时间，任务完成（验收）情况；</w:t>
      </w:r>
    </w:p>
    <w:p w14:paraId="266052A3">
      <w:pPr>
        <w:keepNext w:val="0"/>
        <w:keepLines w:val="0"/>
        <w:pageBreakBefore w:val="0"/>
        <w:widowControl w:val="0"/>
        <w:kinsoku/>
        <w:wordWrap/>
        <w:overflowPunct/>
        <w:topLinePunct w:val="0"/>
        <w:autoSpaceDE/>
        <w:autoSpaceDN/>
        <w:bidi w:val="0"/>
        <w:adjustRightInd/>
        <w:spacing w:line="240" w:lineRule="auto"/>
        <w:ind w:firstLine="560" w:firstLineChars="200"/>
        <w:jc w:val="both"/>
        <w:textAlignment w:val="auto"/>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（3）照片留痕，须采用水印照片，水印照片上须有时间和地点信息，每次临时调工须附不少于三张有效的水印照片，包括作业起始照、工人（集体）正面照、工人作业过程照、作业完成照。</w:t>
      </w:r>
    </w:p>
    <w:p w14:paraId="2045DD7D">
      <w:pPr>
        <w:keepNext w:val="0"/>
        <w:keepLines w:val="0"/>
        <w:pageBreakBefore w:val="0"/>
        <w:widowControl w:val="0"/>
        <w:kinsoku/>
        <w:wordWrap/>
        <w:overflowPunct/>
        <w:topLinePunct w:val="0"/>
        <w:autoSpaceDE/>
        <w:autoSpaceDN/>
        <w:bidi w:val="0"/>
        <w:adjustRightInd w:val="0"/>
        <w:snapToGrid w:val="0"/>
        <w:spacing w:line="240" w:lineRule="auto"/>
        <w:ind w:firstLine="560" w:firstLineChars="200"/>
        <w:jc w:val="both"/>
        <w:textAlignment w:val="auto"/>
        <w:rPr>
          <w:rFonts w:hint="eastAsia" w:ascii="宋体" w:hAnsi="宋体" w:eastAsia="宋体" w:cs="宋体"/>
          <w:color w:val="auto"/>
          <w:sz w:val="28"/>
          <w:szCs w:val="28"/>
          <w:lang w:val="en-US" w:eastAsia="zh-CN"/>
        </w:rPr>
      </w:pPr>
    </w:p>
    <w:p w14:paraId="083297F2">
      <w:pPr>
        <w:keepNext w:val="0"/>
        <w:keepLines w:val="0"/>
        <w:pageBreakBefore w:val="0"/>
        <w:widowControl w:val="0"/>
        <w:kinsoku/>
        <w:wordWrap/>
        <w:overflowPunct/>
        <w:topLinePunct w:val="0"/>
        <w:autoSpaceDE/>
        <w:autoSpaceDN/>
        <w:bidi w:val="0"/>
        <w:spacing w:line="240" w:lineRule="auto"/>
        <w:ind w:left="10" w:leftChars="4" w:firstLine="705" w:firstLineChars="252"/>
        <w:jc w:val="both"/>
        <w:textAlignment w:val="auto"/>
        <w:rPr>
          <w:rFonts w:hint="eastAsia" w:ascii="宋体" w:hAnsi="宋体" w:eastAsia="宋体" w:cs="宋体"/>
          <w:color w:val="auto"/>
          <w:sz w:val="28"/>
          <w:szCs w:val="28"/>
          <w:highlight w:val="none"/>
          <w:lang w:val="en-US" w:eastAsia="zh-CN"/>
        </w:rPr>
      </w:pPr>
    </w:p>
    <w:p w14:paraId="33BFFE04">
      <w:pPr>
        <w:keepNext w:val="0"/>
        <w:keepLines w:val="0"/>
        <w:pageBreakBefore w:val="0"/>
        <w:widowControl w:val="0"/>
        <w:kinsoku/>
        <w:wordWrap/>
        <w:overflowPunct/>
        <w:topLinePunct w:val="0"/>
        <w:autoSpaceDE/>
        <w:autoSpaceDN/>
        <w:bidi w:val="0"/>
        <w:spacing w:line="240" w:lineRule="auto"/>
        <w:ind w:firstLine="280" w:firstLineChars="100"/>
        <w:jc w:val="both"/>
        <w:textAlignment w:val="auto"/>
        <w:rPr>
          <w:rFonts w:hint="eastAsia" w:ascii="宋体" w:hAnsi="宋体" w:eastAsia="宋体" w:cs="宋体"/>
          <w:color w:val="auto"/>
          <w:sz w:val="28"/>
          <w:szCs w:val="28"/>
          <w:highlight w:val="none"/>
        </w:rPr>
      </w:pPr>
      <w:r>
        <w:rPr>
          <w:rFonts w:hint="eastAsia" w:ascii="宋体" w:hAnsi="宋体" w:eastAsia="宋体" w:cs="宋体"/>
          <w:smallCaps/>
          <w:color w:val="auto"/>
          <w:sz w:val="28"/>
          <w:szCs w:val="28"/>
          <w:highlight w:val="none"/>
        </w:rPr>
        <w:t xml:space="preserve">  </w:t>
      </w:r>
    </w:p>
    <w:p w14:paraId="59674D91">
      <w:pPr>
        <w:keepNext w:val="0"/>
        <w:keepLines w:val="0"/>
        <w:pageBreakBefore w:val="0"/>
        <w:widowControl w:val="0"/>
        <w:kinsoku/>
        <w:wordWrap/>
        <w:overflowPunct/>
        <w:topLinePunct w:val="0"/>
        <w:autoSpaceDE/>
        <w:autoSpaceDN/>
        <w:bidi w:val="0"/>
        <w:spacing w:line="240" w:lineRule="auto"/>
        <w:ind w:firstLine="280" w:firstLineChars="100"/>
        <w:jc w:val="both"/>
        <w:textAlignment w:val="auto"/>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lang w:val="en-US" w:eastAsia="zh-CN"/>
        </w:rPr>
        <w:t>9</w:t>
      </w:r>
      <w:r>
        <w:rPr>
          <w:rFonts w:hint="eastAsia" w:ascii="宋体" w:hAnsi="宋体" w:eastAsia="宋体" w:cs="宋体"/>
          <w:color w:val="auto"/>
          <w:sz w:val="28"/>
          <w:szCs w:val="28"/>
          <w:highlight w:val="none"/>
        </w:rPr>
        <w:t>、在施工期间，因天气、地方施工环境等原因造成的设备、人员的停工，其损失属于投标人自行承担的风险，不得向招标人索赔任何费用。</w:t>
      </w:r>
    </w:p>
    <w:p w14:paraId="0EB5D38C">
      <w:pPr>
        <w:keepNext w:val="0"/>
        <w:keepLines w:val="0"/>
        <w:pageBreakBefore w:val="0"/>
        <w:widowControl w:val="0"/>
        <w:kinsoku/>
        <w:wordWrap/>
        <w:overflowPunct/>
        <w:topLinePunct w:val="0"/>
        <w:autoSpaceDE/>
        <w:autoSpaceDN/>
        <w:bidi w:val="0"/>
        <w:adjustRightInd w:val="0"/>
        <w:snapToGrid w:val="0"/>
        <w:spacing w:line="240" w:lineRule="auto"/>
        <w:ind w:firstLine="280" w:firstLineChars="100"/>
        <w:jc w:val="both"/>
        <w:textAlignment w:val="auto"/>
        <w:rPr>
          <w:rFonts w:hint="eastAsia" w:hAnsi="宋体" w:cs="宋体"/>
          <w:color w:val="auto"/>
          <w:sz w:val="28"/>
          <w:szCs w:val="28"/>
        </w:rPr>
      </w:pPr>
      <w:r>
        <w:rPr>
          <w:rFonts w:hint="eastAsia" w:hAnsi="宋体" w:cs="宋体"/>
          <w:color w:val="auto"/>
          <w:sz w:val="28"/>
          <w:szCs w:val="28"/>
          <w:lang w:val="en-US" w:eastAsia="zh-CN"/>
        </w:rPr>
        <w:t>10、</w:t>
      </w:r>
      <w:r>
        <w:rPr>
          <w:rFonts w:hint="eastAsia" w:hAnsi="宋体" w:cs="宋体"/>
          <w:color w:val="auto"/>
          <w:sz w:val="28"/>
          <w:szCs w:val="28"/>
        </w:rPr>
        <w:t>招标人提供轴线（大线）、控制线和控制点标高，中标单位进行剩余测量放线工作。每道工序完成后报项目部复核签字。</w:t>
      </w:r>
    </w:p>
    <w:p w14:paraId="70815E2D">
      <w:pPr>
        <w:pStyle w:val="3"/>
        <w:keepNext w:val="0"/>
        <w:keepLines w:val="0"/>
        <w:pageBreakBefore w:val="0"/>
        <w:widowControl w:val="0"/>
        <w:kinsoku/>
        <w:wordWrap/>
        <w:overflowPunct/>
        <w:topLinePunct w:val="0"/>
        <w:autoSpaceDE/>
        <w:autoSpaceDN/>
        <w:bidi w:val="0"/>
        <w:spacing w:line="240" w:lineRule="auto"/>
        <w:ind w:left="0" w:leftChars="0" w:firstLine="280" w:firstLineChars="100"/>
        <w:jc w:val="both"/>
        <w:textAlignment w:val="auto"/>
        <w:rPr>
          <w:rFonts w:hint="eastAsia" w:hAnsi="宋体" w:cs="宋体"/>
          <w:i w:val="0"/>
          <w:iCs w:val="0"/>
          <w:color w:val="auto"/>
          <w:sz w:val="28"/>
          <w:szCs w:val="28"/>
        </w:rPr>
      </w:pPr>
      <w:r>
        <w:rPr>
          <w:rFonts w:hint="eastAsia" w:hAnsi="宋体" w:cs="宋体"/>
          <w:i w:val="0"/>
          <w:iCs w:val="0"/>
          <w:color w:val="auto"/>
          <w:sz w:val="28"/>
          <w:szCs w:val="28"/>
          <w:lang w:val="en-US" w:eastAsia="zh-CN"/>
        </w:rPr>
        <w:t>11、</w:t>
      </w:r>
      <w:r>
        <w:rPr>
          <w:rFonts w:hint="eastAsia" w:hAnsi="宋体" w:cs="宋体"/>
          <w:i w:val="0"/>
          <w:iCs w:val="0"/>
          <w:color w:val="auto"/>
          <w:sz w:val="28"/>
          <w:szCs w:val="28"/>
        </w:rPr>
        <w:t>墙体砌筑、内墙粉刷不区分层高，价格综合考虑在清单报价中。</w:t>
      </w:r>
    </w:p>
    <w:p w14:paraId="00B2A94A">
      <w:pPr>
        <w:pStyle w:val="4"/>
        <w:keepNext w:val="0"/>
        <w:keepLines w:val="0"/>
        <w:pageBreakBefore w:val="0"/>
        <w:widowControl w:val="0"/>
        <w:kinsoku/>
        <w:wordWrap/>
        <w:overflowPunct/>
        <w:topLinePunct w:val="0"/>
        <w:autoSpaceDE/>
        <w:autoSpaceDN/>
        <w:bidi w:val="0"/>
        <w:spacing w:before="0" w:beforeAutospacing="0" w:after="0" w:afterAutospacing="0" w:line="240" w:lineRule="auto"/>
        <w:ind w:firstLine="280" w:firstLineChars="100"/>
        <w:jc w:val="both"/>
        <w:textAlignment w:val="auto"/>
        <w:rPr>
          <w:rFonts w:hint="eastAsia"/>
          <w:color w:val="auto"/>
          <w:sz w:val="28"/>
          <w:szCs w:val="28"/>
          <w:highlight w:val="yellow"/>
        </w:rPr>
      </w:pPr>
      <w:bookmarkStart w:id="31" w:name="_GoBack"/>
      <w:r>
        <w:rPr>
          <w:rFonts w:hint="eastAsia"/>
          <w:color w:val="auto"/>
          <w:kern w:val="2"/>
          <w:sz w:val="28"/>
          <w:szCs w:val="28"/>
          <w:highlight w:val="yellow"/>
          <w:lang w:val="en-US" w:eastAsia="zh-CN" w:bidi="ar"/>
        </w:rPr>
        <w:t>12、</w:t>
      </w:r>
      <w:r>
        <w:rPr>
          <w:rFonts w:hint="eastAsia"/>
          <w:color w:val="auto"/>
          <w:kern w:val="2"/>
          <w:sz w:val="28"/>
          <w:szCs w:val="28"/>
          <w:highlight w:val="yellow"/>
          <w:lang w:bidi="ar"/>
        </w:rPr>
        <w:t>食宿由乙方自理，施工现场不提供食宿（现场所有施工费用已包含承包单价内）。且需确保做到“一机一闸一漏一箱”严禁使用非标设备，开关、插座及照明用具。</w:t>
      </w:r>
    </w:p>
    <w:bookmarkEnd w:id="31"/>
    <w:p w14:paraId="7D57D7C0">
      <w:pPr>
        <w:keepNext w:val="0"/>
        <w:keepLines w:val="0"/>
        <w:pageBreakBefore w:val="0"/>
        <w:widowControl w:val="0"/>
        <w:kinsoku/>
        <w:wordWrap/>
        <w:overflowPunct/>
        <w:topLinePunct w:val="0"/>
        <w:autoSpaceDE/>
        <w:autoSpaceDN/>
        <w:bidi w:val="0"/>
        <w:spacing w:line="240" w:lineRule="auto"/>
        <w:ind w:firstLine="280" w:firstLineChars="100"/>
        <w:jc w:val="both"/>
        <w:textAlignment w:val="auto"/>
        <w:rPr>
          <w:rFonts w:hint="eastAsia" w:hAnsi="宋体" w:cs="宋体"/>
          <w:color w:val="auto"/>
          <w:sz w:val="28"/>
          <w:szCs w:val="28"/>
        </w:rPr>
      </w:pPr>
      <w:r>
        <w:rPr>
          <w:rFonts w:hint="eastAsia" w:hAnsi="宋体" w:cs="宋体"/>
          <w:color w:val="auto"/>
          <w:sz w:val="28"/>
          <w:szCs w:val="28"/>
          <w:lang w:val="en-US" w:eastAsia="zh-CN"/>
        </w:rPr>
        <w:t>13、</w:t>
      </w:r>
      <w:r>
        <w:rPr>
          <w:rFonts w:hint="eastAsia" w:hAnsi="宋体" w:cs="宋体"/>
          <w:color w:val="auto"/>
          <w:sz w:val="28"/>
          <w:szCs w:val="28"/>
        </w:rPr>
        <w:t>工期要求：满足业主总包合同和招标人施工管理要求。投标人必须配备充足的人力、材料、机械设备以满足工期需要。中标人应编制施工总进度、周进度、月进度计划，合理有序安排组织施工，满足招标人进度要求，如因班组技术力量或人员、材料、机械不足，不能保证工期要求，限期组织到位，如还不能保证进度计划要求，项目部责令该班组退场并承担工程招标人的损失。因投标人原因延期进场施工、停工、延期竣工的，每延期壹天，招标人将按10000元/天扣取投标人的违约金，投标人还应承担因延误工期而增加的其他相关费用。延期超过7天招标人有权解除合同。</w:t>
      </w:r>
    </w:p>
    <w:p w14:paraId="46A37A01">
      <w:pPr>
        <w:keepNext w:val="0"/>
        <w:keepLines w:val="0"/>
        <w:pageBreakBefore w:val="0"/>
        <w:widowControl w:val="0"/>
        <w:kinsoku/>
        <w:wordWrap/>
        <w:overflowPunct/>
        <w:topLinePunct w:val="0"/>
        <w:autoSpaceDE/>
        <w:autoSpaceDN/>
        <w:bidi w:val="0"/>
        <w:spacing w:line="240" w:lineRule="auto"/>
        <w:jc w:val="both"/>
        <w:textAlignment w:val="auto"/>
        <w:rPr>
          <w:rFonts w:hint="eastAsia" w:hAnsi="宋体" w:cs="宋体"/>
          <w:color w:val="auto"/>
          <w:sz w:val="28"/>
          <w:szCs w:val="28"/>
          <w:u w:val="none"/>
        </w:rPr>
      </w:pPr>
      <w:r>
        <w:rPr>
          <w:rFonts w:hint="eastAsia" w:hAnsi="宋体" w:cs="宋体"/>
          <w:color w:val="auto"/>
          <w:sz w:val="28"/>
          <w:szCs w:val="28"/>
          <w:lang w:val="en-US" w:eastAsia="zh-CN"/>
        </w:rPr>
        <w:t>14、单价</w:t>
      </w:r>
      <w:r>
        <w:rPr>
          <w:rFonts w:hint="eastAsia" w:hAnsi="宋体" w:cs="宋体"/>
          <w:color w:val="auto"/>
          <w:sz w:val="28"/>
          <w:szCs w:val="28"/>
        </w:rPr>
        <w:t>中已包含因业主方设计方案变更等问题，造成现场不具备大面积开工导致的人工、材料价格上涨、工期延误、窝工、停工等全部</w:t>
      </w:r>
      <w:r>
        <w:rPr>
          <w:rFonts w:hint="eastAsia" w:hAnsi="宋体" w:cs="宋体"/>
          <w:color w:val="auto"/>
          <w:sz w:val="28"/>
          <w:szCs w:val="28"/>
          <w:u w:val="none"/>
        </w:rPr>
        <w:t>费用，投标人不得以任何理由提</w:t>
      </w:r>
    </w:p>
    <w:p w14:paraId="78790934">
      <w:pPr>
        <w:keepNext w:val="0"/>
        <w:keepLines w:val="0"/>
        <w:pageBreakBefore w:val="0"/>
        <w:widowControl w:val="0"/>
        <w:kinsoku/>
        <w:wordWrap/>
        <w:overflowPunct/>
        <w:topLinePunct w:val="0"/>
        <w:autoSpaceDE/>
        <w:autoSpaceDN/>
        <w:bidi w:val="0"/>
        <w:snapToGrid w:val="0"/>
        <w:spacing w:after="160" w:line="240" w:lineRule="auto"/>
        <w:jc w:val="both"/>
        <w:textAlignment w:val="auto"/>
        <w:rPr>
          <w:rFonts w:hint="eastAsia" w:hAnsi="宋体" w:cs="宋体"/>
          <w:color w:val="auto"/>
          <w:sz w:val="28"/>
          <w:szCs w:val="28"/>
          <w:u w:val="none"/>
        </w:rPr>
      </w:pPr>
      <w:r>
        <w:rPr>
          <w:rFonts w:hint="eastAsia" w:hAnsi="宋体" w:cs="宋体"/>
          <w:color w:val="auto"/>
          <w:sz w:val="28"/>
          <w:szCs w:val="28"/>
          <w:u w:val="none"/>
          <w:lang w:val="en-US" w:eastAsia="zh-CN"/>
        </w:rPr>
        <w:t>15、</w:t>
      </w:r>
      <w:r>
        <w:rPr>
          <w:rFonts w:hint="eastAsia" w:hAnsi="宋体" w:cs="宋体"/>
          <w:color w:val="auto"/>
          <w:sz w:val="28"/>
          <w:szCs w:val="28"/>
          <w:u w:val="none"/>
        </w:rPr>
        <w:t>招标人不保证垂直运输全覆盖，其他未覆盖到的区域材料运输工作由中标人自行负责，综合考虑自行报价</w:t>
      </w:r>
      <w:r>
        <w:rPr>
          <w:rFonts w:hint="eastAsia" w:hAnsi="宋体" w:cs="宋体"/>
          <w:color w:val="auto"/>
          <w:sz w:val="28"/>
          <w:szCs w:val="28"/>
          <w:u w:val="none"/>
          <w:lang w:val="en-US" w:eastAsia="zh-CN"/>
        </w:rPr>
        <w:t>,投标人需自备水平运输机械</w:t>
      </w:r>
      <w:r>
        <w:rPr>
          <w:rFonts w:hint="eastAsia" w:hAnsi="宋体" w:cs="宋体"/>
          <w:color w:val="auto"/>
          <w:sz w:val="28"/>
          <w:szCs w:val="28"/>
          <w:u w:val="none"/>
        </w:rPr>
        <w:t>。</w:t>
      </w:r>
    </w:p>
    <w:p w14:paraId="2E0A9B5D">
      <w:pPr>
        <w:pStyle w:val="2"/>
        <w:rPr>
          <w:rFonts w:hint="eastAsia"/>
          <w:sz w:val="28"/>
          <w:szCs w:val="28"/>
          <w:highlight w:val="yellow"/>
          <w:lang w:val="en-US" w:eastAsia="zh-CN"/>
        </w:rPr>
      </w:pPr>
      <w:r>
        <w:rPr>
          <w:rFonts w:hint="eastAsia" w:hAnsi="宋体" w:cs="宋体"/>
          <w:color w:val="auto"/>
          <w:sz w:val="28"/>
          <w:szCs w:val="28"/>
          <w:highlight w:val="yellow"/>
          <w:u w:val="none"/>
          <w:lang w:val="en-US" w:eastAsia="zh-CN"/>
        </w:rPr>
        <w:t>16、</w:t>
      </w:r>
      <w:r>
        <w:rPr>
          <w:rFonts w:hint="eastAsia"/>
          <w:sz w:val="28"/>
          <w:szCs w:val="28"/>
          <w:highlight w:val="yellow"/>
          <w:lang w:val="en-US" w:eastAsia="zh-CN"/>
        </w:rPr>
        <w:t>本次招标仅供1#2#楼图纸，其余图纸后期待建设单位交付，请投标人综合考虑报价及风险，后期单价不予调整。</w:t>
      </w:r>
    </w:p>
    <w:p w14:paraId="0B9AAF45">
      <w:pPr>
        <w:pStyle w:val="2"/>
        <w:rPr>
          <w:rFonts w:hint="default"/>
          <w:sz w:val="28"/>
          <w:szCs w:val="28"/>
          <w:highlight w:val="yellow"/>
          <w:lang w:val="en-US" w:eastAsia="zh-CN"/>
        </w:rPr>
      </w:pPr>
      <w:r>
        <w:rPr>
          <w:rFonts w:hint="eastAsia"/>
          <w:sz w:val="28"/>
          <w:szCs w:val="28"/>
          <w:highlight w:val="yellow"/>
          <w:lang w:val="en-US" w:eastAsia="zh-CN"/>
        </w:rPr>
        <w:t>17、地下室作业面划分以招标人在图纸全部出具后最终下发的指令为准。</w:t>
      </w:r>
    </w:p>
    <w:p w14:paraId="18073DD4">
      <w:pPr>
        <w:pStyle w:val="2"/>
        <w:rPr>
          <w:rFonts w:hint="default"/>
          <w:sz w:val="28"/>
          <w:szCs w:val="28"/>
          <w:lang w:val="en-US" w:eastAsia="zh-CN"/>
        </w:rPr>
      </w:pPr>
    </w:p>
    <w:p w14:paraId="294F9CA6">
      <w:pPr>
        <w:pStyle w:val="2"/>
        <w:rPr>
          <w:rFonts w:hint="default" w:eastAsia="宋体"/>
          <w:lang w:val="en-US" w:eastAsia="zh-CN"/>
        </w:rPr>
      </w:pPr>
    </w:p>
    <w:p w14:paraId="425D5AC5">
      <w:pPr>
        <w:spacing w:line="390" w:lineRule="exact"/>
        <w:ind w:firstLine="180"/>
        <w:jc w:val="center"/>
        <w:rPr>
          <w:rFonts w:hint="eastAsia" w:hAnsi="宋体" w:cs="宋体"/>
          <w:color w:val="000000"/>
          <w:sz w:val="28"/>
          <w:szCs w:val="28"/>
        </w:rPr>
      </w:pPr>
      <w:r>
        <w:rPr>
          <w:rFonts w:hint="eastAsia" w:hAnsi="宋体" w:cs="宋体"/>
          <w:b/>
          <w:bCs/>
          <w:color w:val="000000"/>
          <w:sz w:val="28"/>
          <w:szCs w:val="28"/>
          <w:lang w:val="en-US" w:eastAsia="zh-CN"/>
        </w:rPr>
        <w:t>材料</w:t>
      </w:r>
      <w:r>
        <w:rPr>
          <w:rFonts w:hint="eastAsia" w:hAnsi="宋体" w:cs="宋体"/>
          <w:b/>
          <w:bCs/>
          <w:color w:val="000000"/>
          <w:sz w:val="28"/>
          <w:szCs w:val="28"/>
        </w:rPr>
        <w:t>约定</w:t>
      </w:r>
      <w:r>
        <w:rPr>
          <w:rFonts w:hint="eastAsia" w:hAnsi="宋体" w:cs="宋体"/>
          <w:b/>
          <w:bCs/>
          <w:color w:val="0000FF"/>
          <w:kern w:val="2"/>
          <w:sz w:val="28"/>
          <w:szCs w:val="28"/>
          <w:lang w:val="en-US" w:eastAsia="zh-CN" w:bidi="ar"/>
        </w:rPr>
        <w:t>节余</w:t>
      </w:r>
      <w:r>
        <w:rPr>
          <w:rFonts w:hint="eastAsia" w:hAnsi="宋体" w:cs="宋体"/>
          <w:b/>
          <w:bCs/>
          <w:color w:val="000000"/>
          <w:sz w:val="28"/>
          <w:szCs w:val="28"/>
        </w:rPr>
        <w:t>表</w:t>
      </w:r>
      <w:r>
        <w:rPr>
          <w:rFonts w:hint="eastAsia" w:hAnsi="宋体" w:cs="宋体"/>
          <w:color w:val="000000"/>
          <w:sz w:val="28"/>
          <w:szCs w:val="28"/>
        </w:rPr>
        <w:t xml:space="preserve">                           </w:t>
      </w:r>
    </w:p>
    <w:tbl>
      <w:tblPr>
        <w:tblStyle w:val="5"/>
        <w:tblW w:w="9617" w:type="dxa"/>
        <w:tblInd w:w="2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4"/>
        <w:gridCol w:w="1389"/>
        <w:gridCol w:w="1568"/>
        <w:gridCol w:w="677"/>
        <w:gridCol w:w="1595"/>
        <w:gridCol w:w="900"/>
        <w:gridCol w:w="1714"/>
        <w:gridCol w:w="1020"/>
      </w:tblGrid>
      <w:tr w14:paraId="4DC02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54" w:type="dxa"/>
            <w:vAlign w:val="center"/>
          </w:tcPr>
          <w:p w14:paraId="127009C4">
            <w:pPr>
              <w:spacing w:line="390" w:lineRule="exact"/>
              <w:jc w:val="center"/>
              <w:rPr>
                <w:rFonts w:hint="eastAsia" w:hAnsi="宋体" w:cs="宋体"/>
                <w:color w:val="000000"/>
                <w:sz w:val="21"/>
                <w:szCs w:val="21"/>
              </w:rPr>
            </w:pPr>
            <w:r>
              <w:rPr>
                <w:rFonts w:hint="eastAsia" w:hAnsi="宋体" w:cs="宋体"/>
                <w:color w:val="000000"/>
                <w:sz w:val="21"/>
                <w:szCs w:val="21"/>
              </w:rPr>
              <w:t>序号</w:t>
            </w:r>
          </w:p>
        </w:tc>
        <w:tc>
          <w:tcPr>
            <w:tcW w:w="1389" w:type="dxa"/>
            <w:vAlign w:val="center"/>
          </w:tcPr>
          <w:p w14:paraId="6F3361A4">
            <w:pPr>
              <w:spacing w:line="390" w:lineRule="exact"/>
              <w:jc w:val="center"/>
              <w:rPr>
                <w:rFonts w:hint="eastAsia" w:hAnsi="宋体" w:cs="宋体"/>
                <w:color w:val="000000"/>
                <w:sz w:val="21"/>
                <w:szCs w:val="21"/>
              </w:rPr>
            </w:pPr>
            <w:r>
              <w:rPr>
                <w:rFonts w:hint="eastAsia" w:hAnsi="宋体" w:cs="宋体"/>
                <w:color w:val="000000"/>
                <w:sz w:val="21"/>
                <w:szCs w:val="21"/>
              </w:rPr>
              <w:t>品种</w:t>
            </w:r>
          </w:p>
        </w:tc>
        <w:tc>
          <w:tcPr>
            <w:tcW w:w="1568" w:type="dxa"/>
            <w:vAlign w:val="center"/>
          </w:tcPr>
          <w:p w14:paraId="2135CEAF">
            <w:pPr>
              <w:spacing w:line="390" w:lineRule="exact"/>
              <w:jc w:val="center"/>
              <w:rPr>
                <w:rFonts w:hint="eastAsia" w:hAnsi="宋体" w:cs="宋体"/>
                <w:color w:val="000000"/>
                <w:sz w:val="21"/>
                <w:szCs w:val="21"/>
              </w:rPr>
            </w:pPr>
            <w:r>
              <w:rPr>
                <w:rFonts w:hint="eastAsia" w:hAnsi="宋体" w:cs="宋体"/>
                <w:color w:val="000000"/>
                <w:sz w:val="21"/>
                <w:szCs w:val="21"/>
              </w:rPr>
              <w:t>规格型号</w:t>
            </w:r>
          </w:p>
        </w:tc>
        <w:tc>
          <w:tcPr>
            <w:tcW w:w="677" w:type="dxa"/>
            <w:vAlign w:val="center"/>
          </w:tcPr>
          <w:p w14:paraId="2846DE07">
            <w:pPr>
              <w:spacing w:line="390" w:lineRule="exact"/>
              <w:jc w:val="center"/>
              <w:rPr>
                <w:rFonts w:hint="eastAsia" w:hAnsi="宋体" w:cs="宋体"/>
                <w:color w:val="000000"/>
                <w:sz w:val="21"/>
                <w:szCs w:val="21"/>
              </w:rPr>
            </w:pPr>
            <w:r>
              <w:rPr>
                <w:rFonts w:hint="eastAsia" w:hAnsi="宋体" w:cs="宋体"/>
                <w:color w:val="000000"/>
                <w:sz w:val="21"/>
                <w:szCs w:val="21"/>
              </w:rPr>
              <w:t>单位</w:t>
            </w:r>
          </w:p>
        </w:tc>
        <w:tc>
          <w:tcPr>
            <w:tcW w:w="1595" w:type="dxa"/>
            <w:vAlign w:val="center"/>
          </w:tcPr>
          <w:p w14:paraId="41C06CD6">
            <w:pPr>
              <w:spacing w:line="390" w:lineRule="exact"/>
              <w:jc w:val="center"/>
              <w:rPr>
                <w:rFonts w:hint="eastAsia" w:hAnsi="宋体" w:cs="宋体"/>
                <w:color w:val="000000"/>
                <w:sz w:val="21"/>
                <w:szCs w:val="21"/>
              </w:rPr>
            </w:pPr>
            <w:r>
              <w:rPr>
                <w:rFonts w:hint="eastAsia" w:hAnsi="宋体" w:cs="宋体"/>
                <w:color w:val="000000"/>
                <w:sz w:val="21"/>
                <w:szCs w:val="21"/>
              </w:rPr>
              <w:t>数量（暂定）</w:t>
            </w:r>
          </w:p>
        </w:tc>
        <w:tc>
          <w:tcPr>
            <w:tcW w:w="900" w:type="dxa"/>
            <w:vAlign w:val="center"/>
          </w:tcPr>
          <w:p w14:paraId="0E1C33B9">
            <w:pPr>
              <w:spacing w:line="390" w:lineRule="exact"/>
              <w:jc w:val="center"/>
              <w:rPr>
                <w:rFonts w:hint="eastAsia" w:hAnsi="宋体" w:cs="宋体"/>
                <w:color w:val="000000"/>
                <w:sz w:val="21"/>
                <w:szCs w:val="21"/>
              </w:rPr>
            </w:pPr>
            <w:r>
              <w:rPr>
                <w:rFonts w:hint="eastAsia" w:hAnsi="宋体" w:cs="宋体"/>
                <w:color w:val="000000"/>
                <w:sz w:val="21"/>
                <w:szCs w:val="21"/>
              </w:rPr>
              <w:t>单价</w:t>
            </w:r>
          </w:p>
        </w:tc>
        <w:tc>
          <w:tcPr>
            <w:tcW w:w="1714" w:type="dxa"/>
            <w:vAlign w:val="center"/>
          </w:tcPr>
          <w:p w14:paraId="6AF8FBD9">
            <w:pPr>
              <w:spacing w:line="390" w:lineRule="exact"/>
              <w:jc w:val="center"/>
              <w:rPr>
                <w:rFonts w:hint="eastAsia" w:hAnsi="宋体" w:cs="宋体"/>
                <w:color w:val="000000"/>
                <w:sz w:val="21"/>
                <w:szCs w:val="21"/>
              </w:rPr>
            </w:pPr>
            <w:r>
              <w:rPr>
                <w:rFonts w:hint="eastAsia" w:hAnsi="宋体" w:cs="宋体"/>
                <w:color w:val="0000FF"/>
                <w:kern w:val="2"/>
                <w:sz w:val="21"/>
                <w:szCs w:val="21"/>
                <w:lang w:val="en-US" w:eastAsia="zh-CN" w:bidi="ar"/>
              </w:rPr>
              <w:t>节余</w:t>
            </w:r>
            <w:r>
              <w:rPr>
                <w:rFonts w:hint="eastAsia" w:hAnsi="宋体" w:cs="宋体"/>
                <w:color w:val="000000"/>
                <w:sz w:val="21"/>
                <w:szCs w:val="21"/>
              </w:rPr>
              <w:t>率(%)</w:t>
            </w:r>
          </w:p>
        </w:tc>
        <w:tc>
          <w:tcPr>
            <w:tcW w:w="1020" w:type="dxa"/>
            <w:vAlign w:val="center"/>
          </w:tcPr>
          <w:p w14:paraId="6CE2A426">
            <w:pPr>
              <w:spacing w:line="390" w:lineRule="exact"/>
              <w:jc w:val="center"/>
              <w:rPr>
                <w:rFonts w:hint="eastAsia" w:hAnsi="宋体" w:cs="宋体"/>
                <w:color w:val="000000"/>
                <w:sz w:val="21"/>
                <w:szCs w:val="21"/>
              </w:rPr>
            </w:pPr>
            <w:r>
              <w:rPr>
                <w:rFonts w:hint="eastAsia" w:hAnsi="宋体" w:cs="宋体"/>
                <w:color w:val="000000"/>
                <w:sz w:val="21"/>
                <w:szCs w:val="21"/>
              </w:rPr>
              <w:t>备注</w:t>
            </w:r>
          </w:p>
        </w:tc>
      </w:tr>
      <w:tr w14:paraId="508EA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54" w:type="dxa"/>
            <w:vAlign w:val="center"/>
          </w:tcPr>
          <w:p w14:paraId="6028BC10">
            <w:pPr>
              <w:jc w:val="center"/>
              <w:textAlignment w:val="center"/>
              <w:rPr>
                <w:rFonts w:hint="eastAsia" w:hAnsi="宋体" w:cs="宋体"/>
                <w:color w:val="000000"/>
                <w:sz w:val="21"/>
                <w:szCs w:val="21"/>
              </w:rPr>
            </w:pPr>
            <w:r>
              <w:rPr>
                <w:rFonts w:hint="eastAsia" w:hAnsi="宋体" w:cs="宋体"/>
                <w:color w:val="000000"/>
                <w:sz w:val="21"/>
                <w:szCs w:val="21"/>
                <w:lang w:bidi="ar"/>
              </w:rPr>
              <w:t>1</w:t>
            </w:r>
          </w:p>
        </w:tc>
        <w:tc>
          <w:tcPr>
            <w:tcW w:w="1389" w:type="dxa"/>
            <w:vAlign w:val="center"/>
          </w:tcPr>
          <w:p w14:paraId="15C3A68E">
            <w:pPr>
              <w:jc w:val="center"/>
              <w:textAlignment w:val="center"/>
              <w:rPr>
                <w:rFonts w:hint="eastAsia" w:hAnsi="宋体" w:cs="宋体"/>
                <w:color w:val="000000"/>
                <w:sz w:val="21"/>
                <w:szCs w:val="21"/>
              </w:rPr>
            </w:pPr>
            <w:r>
              <w:rPr>
                <w:rFonts w:hint="eastAsia" w:hAnsi="宋体" w:cs="宋体"/>
                <w:color w:val="000000"/>
                <w:sz w:val="21"/>
                <w:szCs w:val="21"/>
                <w:lang w:bidi="ar"/>
              </w:rPr>
              <w:t>混凝土</w:t>
            </w:r>
          </w:p>
        </w:tc>
        <w:tc>
          <w:tcPr>
            <w:tcW w:w="1568" w:type="dxa"/>
            <w:vAlign w:val="center"/>
          </w:tcPr>
          <w:p w14:paraId="0DD948EA">
            <w:pPr>
              <w:jc w:val="center"/>
              <w:textAlignment w:val="center"/>
              <w:rPr>
                <w:rFonts w:hint="eastAsia" w:hAnsi="宋体" w:cs="宋体"/>
                <w:color w:val="000000"/>
                <w:sz w:val="21"/>
                <w:szCs w:val="21"/>
              </w:rPr>
            </w:pPr>
            <w:r>
              <w:rPr>
                <w:rFonts w:hint="eastAsia" w:hAnsi="宋体" w:cs="宋体"/>
                <w:color w:val="000000"/>
                <w:sz w:val="21"/>
                <w:szCs w:val="21"/>
              </w:rPr>
              <w:t>不分规格型号</w:t>
            </w:r>
          </w:p>
        </w:tc>
        <w:tc>
          <w:tcPr>
            <w:tcW w:w="677" w:type="dxa"/>
            <w:vAlign w:val="center"/>
          </w:tcPr>
          <w:p w14:paraId="63CEFCBE">
            <w:pPr>
              <w:jc w:val="center"/>
              <w:textAlignment w:val="center"/>
              <w:rPr>
                <w:rFonts w:hint="eastAsia" w:hAnsi="宋体" w:cs="宋体"/>
                <w:color w:val="000000"/>
                <w:sz w:val="21"/>
                <w:szCs w:val="21"/>
              </w:rPr>
            </w:pPr>
            <w:r>
              <w:rPr>
                <w:rFonts w:hint="eastAsia" w:hAnsi="宋体" w:cs="宋体"/>
                <w:color w:val="000000"/>
                <w:sz w:val="21"/>
                <w:szCs w:val="21"/>
              </w:rPr>
              <w:t>M3</w:t>
            </w:r>
          </w:p>
        </w:tc>
        <w:tc>
          <w:tcPr>
            <w:tcW w:w="1595" w:type="dxa"/>
            <w:vAlign w:val="center"/>
          </w:tcPr>
          <w:p w14:paraId="16C2E6A8">
            <w:pPr>
              <w:jc w:val="center"/>
              <w:textAlignment w:val="center"/>
              <w:rPr>
                <w:rFonts w:hint="eastAsia" w:hAnsi="宋体" w:cs="宋体"/>
                <w:color w:val="000000"/>
                <w:sz w:val="21"/>
                <w:szCs w:val="21"/>
              </w:rPr>
            </w:pPr>
            <w:r>
              <w:rPr>
                <w:rFonts w:hint="eastAsia" w:hAnsi="宋体" w:cs="宋体"/>
                <w:color w:val="000000"/>
                <w:sz w:val="21"/>
                <w:szCs w:val="21"/>
              </w:rPr>
              <w:t>/</w:t>
            </w:r>
          </w:p>
        </w:tc>
        <w:tc>
          <w:tcPr>
            <w:tcW w:w="900" w:type="dxa"/>
            <w:vAlign w:val="center"/>
          </w:tcPr>
          <w:p w14:paraId="4E178882">
            <w:pPr>
              <w:jc w:val="center"/>
              <w:rPr>
                <w:rFonts w:hint="eastAsia" w:hAnsi="宋体" w:cs="宋体"/>
                <w:color w:val="000000"/>
                <w:sz w:val="21"/>
                <w:szCs w:val="21"/>
              </w:rPr>
            </w:pPr>
            <w:r>
              <w:rPr>
                <w:rFonts w:hint="eastAsia" w:hAnsi="宋体" w:cs="宋体"/>
                <w:color w:val="000000"/>
                <w:sz w:val="21"/>
                <w:szCs w:val="21"/>
              </w:rPr>
              <w:t>/</w:t>
            </w:r>
          </w:p>
        </w:tc>
        <w:tc>
          <w:tcPr>
            <w:tcW w:w="1714" w:type="dxa"/>
            <w:vAlign w:val="center"/>
          </w:tcPr>
          <w:p w14:paraId="77DCB605">
            <w:pPr>
              <w:jc w:val="center"/>
              <w:textAlignment w:val="center"/>
              <w:rPr>
                <w:rFonts w:hint="eastAsia" w:hAnsi="宋体" w:cs="宋体"/>
                <w:color w:val="000000"/>
                <w:sz w:val="21"/>
                <w:szCs w:val="21"/>
              </w:rPr>
            </w:pPr>
            <w:r>
              <w:rPr>
                <w:rFonts w:hint="eastAsia" w:hAnsi="宋体" w:cs="宋体"/>
                <w:color w:val="000000"/>
                <w:sz w:val="21"/>
                <w:szCs w:val="21"/>
              </w:rPr>
              <w:t>1</w:t>
            </w:r>
          </w:p>
        </w:tc>
        <w:tc>
          <w:tcPr>
            <w:tcW w:w="1020" w:type="dxa"/>
          </w:tcPr>
          <w:p w14:paraId="693FD301">
            <w:pPr>
              <w:spacing w:line="390" w:lineRule="exact"/>
              <w:rPr>
                <w:rFonts w:hint="eastAsia" w:hAnsi="宋体" w:cs="宋体"/>
                <w:color w:val="000000"/>
                <w:sz w:val="21"/>
                <w:szCs w:val="21"/>
              </w:rPr>
            </w:pPr>
          </w:p>
        </w:tc>
      </w:tr>
      <w:tr w14:paraId="243A4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754" w:type="dxa"/>
            <w:vAlign w:val="center"/>
          </w:tcPr>
          <w:p w14:paraId="7F154672">
            <w:pPr>
              <w:jc w:val="center"/>
              <w:textAlignment w:val="center"/>
              <w:rPr>
                <w:rFonts w:hint="eastAsia" w:hAnsi="宋体" w:eastAsia="宋体" w:cs="宋体"/>
                <w:color w:val="000000"/>
                <w:sz w:val="21"/>
                <w:szCs w:val="21"/>
                <w:lang w:val="en-US" w:eastAsia="zh-CN" w:bidi="ar"/>
              </w:rPr>
            </w:pPr>
            <w:r>
              <w:rPr>
                <w:rFonts w:hint="eastAsia" w:hAnsi="宋体" w:cs="宋体"/>
                <w:color w:val="000000"/>
                <w:sz w:val="21"/>
                <w:szCs w:val="21"/>
                <w:lang w:val="en-US" w:eastAsia="zh-CN" w:bidi="ar"/>
              </w:rPr>
              <w:t>2</w:t>
            </w:r>
          </w:p>
        </w:tc>
        <w:tc>
          <w:tcPr>
            <w:tcW w:w="1389" w:type="dxa"/>
            <w:vAlign w:val="center"/>
          </w:tcPr>
          <w:p w14:paraId="09315A87">
            <w:pPr>
              <w:jc w:val="center"/>
              <w:textAlignment w:val="center"/>
              <w:rPr>
                <w:rFonts w:hint="eastAsia" w:hAnsi="宋体" w:eastAsia="宋体" w:cs="宋体"/>
                <w:color w:val="000000"/>
                <w:sz w:val="21"/>
                <w:szCs w:val="21"/>
                <w:lang w:val="en-US" w:eastAsia="zh-CN"/>
              </w:rPr>
            </w:pPr>
            <w:r>
              <w:rPr>
                <w:rFonts w:hint="eastAsia" w:hAnsi="宋体" w:cs="宋体"/>
                <w:color w:val="000000"/>
                <w:sz w:val="21"/>
                <w:szCs w:val="21"/>
                <w:lang w:val="en-US" w:eastAsia="zh-CN"/>
              </w:rPr>
              <w:t>钢筋</w:t>
            </w:r>
          </w:p>
        </w:tc>
        <w:tc>
          <w:tcPr>
            <w:tcW w:w="1568" w:type="dxa"/>
            <w:vAlign w:val="center"/>
          </w:tcPr>
          <w:p w14:paraId="5FAFE03E">
            <w:pPr>
              <w:jc w:val="center"/>
              <w:textAlignment w:val="center"/>
              <w:rPr>
                <w:rFonts w:hint="eastAsia" w:hAnsi="宋体" w:cs="宋体"/>
                <w:color w:val="000000"/>
                <w:sz w:val="21"/>
                <w:szCs w:val="21"/>
              </w:rPr>
            </w:pPr>
            <w:r>
              <w:rPr>
                <w:rFonts w:hint="eastAsia" w:hAnsi="宋体" w:cs="宋体"/>
                <w:color w:val="000000"/>
                <w:sz w:val="21"/>
                <w:szCs w:val="21"/>
              </w:rPr>
              <w:t>不分规格型号</w:t>
            </w:r>
          </w:p>
        </w:tc>
        <w:tc>
          <w:tcPr>
            <w:tcW w:w="677" w:type="dxa"/>
            <w:vAlign w:val="center"/>
          </w:tcPr>
          <w:p w14:paraId="4D9AEBF9">
            <w:pPr>
              <w:jc w:val="center"/>
              <w:textAlignment w:val="center"/>
              <w:rPr>
                <w:rFonts w:hint="eastAsia" w:hAnsi="宋体" w:cs="宋体"/>
                <w:color w:val="000000"/>
                <w:sz w:val="21"/>
                <w:szCs w:val="21"/>
              </w:rPr>
            </w:pPr>
            <w:r>
              <w:rPr>
                <w:rFonts w:hint="eastAsia" w:hAnsi="宋体" w:cs="宋体"/>
                <w:color w:val="000000"/>
                <w:sz w:val="21"/>
                <w:szCs w:val="21"/>
              </w:rPr>
              <w:t>M3</w:t>
            </w:r>
          </w:p>
        </w:tc>
        <w:tc>
          <w:tcPr>
            <w:tcW w:w="1595" w:type="dxa"/>
            <w:shd w:val="clear"/>
            <w:vAlign w:val="center"/>
          </w:tcPr>
          <w:p w14:paraId="16906B23">
            <w:pPr>
              <w:jc w:val="center"/>
              <w:textAlignment w:val="center"/>
              <w:rPr>
                <w:rFonts w:hint="eastAsia" w:ascii="宋体" w:hAnsi="宋体" w:eastAsia="宋体" w:cs="宋体"/>
                <w:color w:val="000000"/>
                <w:sz w:val="21"/>
                <w:szCs w:val="21"/>
                <w:lang w:val="en-US" w:eastAsia="zh-CN" w:bidi="ar-SA"/>
              </w:rPr>
            </w:pPr>
            <w:r>
              <w:rPr>
                <w:rFonts w:hint="eastAsia" w:hAnsi="宋体" w:cs="宋体"/>
                <w:color w:val="000000"/>
                <w:sz w:val="21"/>
                <w:szCs w:val="21"/>
              </w:rPr>
              <w:t>/</w:t>
            </w:r>
          </w:p>
        </w:tc>
        <w:tc>
          <w:tcPr>
            <w:tcW w:w="900" w:type="dxa"/>
            <w:shd w:val="clear"/>
            <w:vAlign w:val="center"/>
          </w:tcPr>
          <w:p w14:paraId="52B9FB9B">
            <w:pPr>
              <w:jc w:val="center"/>
              <w:rPr>
                <w:rFonts w:hint="eastAsia" w:ascii="宋体" w:hAnsi="宋体" w:eastAsia="宋体" w:cs="宋体"/>
                <w:color w:val="000000"/>
                <w:sz w:val="21"/>
                <w:szCs w:val="21"/>
                <w:lang w:val="en-US" w:eastAsia="zh-CN" w:bidi="ar-SA"/>
              </w:rPr>
            </w:pPr>
            <w:r>
              <w:rPr>
                <w:rFonts w:hint="eastAsia" w:hAnsi="宋体" w:cs="宋体"/>
                <w:color w:val="000000"/>
                <w:sz w:val="21"/>
                <w:szCs w:val="21"/>
              </w:rPr>
              <w:t>/</w:t>
            </w:r>
          </w:p>
        </w:tc>
        <w:tc>
          <w:tcPr>
            <w:tcW w:w="1714" w:type="dxa"/>
            <w:vAlign w:val="center"/>
          </w:tcPr>
          <w:p w14:paraId="077E4431">
            <w:pPr>
              <w:jc w:val="center"/>
              <w:textAlignment w:val="center"/>
              <w:rPr>
                <w:rFonts w:hint="default" w:hAnsi="宋体" w:cs="宋体"/>
                <w:color w:val="000000"/>
                <w:sz w:val="21"/>
                <w:szCs w:val="21"/>
                <w:lang w:val="en-US" w:eastAsia="zh-CN"/>
              </w:rPr>
            </w:pPr>
            <w:r>
              <w:rPr>
                <w:rFonts w:hint="eastAsia" w:hAnsi="宋体" w:cs="宋体"/>
                <w:color w:val="000000"/>
                <w:sz w:val="21"/>
                <w:szCs w:val="21"/>
                <w:lang w:val="en-US" w:eastAsia="zh-CN"/>
              </w:rPr>
              <w:t>3</w:t>
            </w:r>
          </w:p>
        </w:tc>
        <w:tc>
          <w:tcPr>
            <w:tcW w:w="1020" w:type="dxa"/>
          </w:tcPr>
          <w:p w14:paraId="08E8D481">
            <w:pPr>
              <w:spacing w:line="390" w:lineRule="exact"/>
              <w:rPr>
                <w:rFonts w:hint="eastAsia" w:hAnsi="宋体" w:cs="宋体"/>
                <w:color w:val="000000"/>
                <w:sz w:val="21"/>
                <w:szCs w:val="21"/>
              </w:rPr>
            </w:pPr>
          </w:p>
        </w:tc>
      </w:tr>
      <w:tr w14:paraId="79566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trPr>
        <w:tc>
          <w:tcPr>
            <w:tcW w:w="754" w:type="dxa"/>
            <w:vAlign w:val="center"/>
          </w:tcPr>
          <w:p w14:paraId="0C2FC1E0">
            <w:pPr>
              <w:jc w:val="center"/>
              <w:textAlignment w:val="center"/>
              <w:rPr>
                <w:rFonts w:hint="eastAsia" w:hAnsi="宋体" w:cs="宋体"/>
                <w:color w:val="000000"/>
                <w:sz w:val="21"/>
                <w:szCs w:val="21"/>
              </w:rPr>
            </w:pPr>
            <w:r>
              <w:rPr>
                <w:rFonts w:hint="eastAsia" w:hAnsi="宋体" w:cs="宋体"/>
                <w:color w:val="000000"/>
                <w:sz w:val="21"/>
                <w:szCs w:val="21"/>
                <w:lang w:bidi="ar"/>
              </w:rPr>
              <w:t>2</w:t>
            </w:r>
          </w:p>
        </w:tc>
        <w:tc>
          <w:tcPr>
            <w:tcW w:w="1389" w:type="dxa"/>
            <w:vAlign w:val="center"/>
          </w:tcPr>
          <w:p w14:paraId="1F2D6BE5">
            <w:pPr>
              <w:jc w:val="center"/>
              <w:textAlignment w:val="center"/>
              <w:rPr>
                <w:rFonts w:hint="eastAsia" w:hAnsi="宋体" w:cs="宋体"/>
                <w:color w:val="000000"/>
                <w:sz w:val="21"/>
                <w:szCs w:val="21"/>
              </w:rPr>
            </w:pPr>
            <w:r>
              <w:rPr>
                <w:rFonts w:hint="eastAsia" w:hAnsi="宋体" w:cs="宋体"/>
                <w:color w:val="000000"/>
                <w:sz w:val="21"/>
                <w:szCs w:val="21"/>
              </w:rPr>
              <w:t>预拌砂浆</w:t>
            </w:r>
          </w:p>
        </w:tc>
        <w:tc>
          <w:tcPr>
            <w:tcW w:w="1568" w:type="dxa"/>
            <w:vAlign w:val="center"/>
          </w:tcPr>
          <w:p w14:paraId="2C90E88A">
            <w:pPr>
              <w:jc w:val="center"/>
              <w:textAlignment w:val="center"/>
              <w:rPr>
                <w:rFonts w:hint="eastAsia" w:hAnsi="宋体" w:cs="宋体"/>
                <w:color w:val="000000"/>
                <w:sz w:val="21"/>
                <w:szCs w:val="21"/>
              </w:rPr>
            </w:pPr>
            <w:r>
              <w:rPr>
                <w:rFonts w:hint="eastAsia" w:hAnsi="宋体" w:cs="宋体"/>
                <w:color w:val="000000"/>
                <w:sz w:val="21"/>
                <w:szCs w:val="21"/>
              </w:rPr>
              <w:t>不分规格型号</w:t>
            </w:r>
          </w:p>
        </w:tc>
        <w:tc>
          <w:tcPr>
            <w:tcW w:w="677" w:type="dxa"/>
            <w:vAlign w:val="center"/>
          </w:tcPr>
          <w:p w14:paraId="4E35C063">
            <w:pPr>
              <w:jc w:val="center"/>
              <w:textAlignment w:val="center"/>
              <w:rPr>
                <w:rFonts w:hint="eastAsia" w:hAnsi="宋体" w:cs="宋体"/>
                <w:color w:val="000000"/>
                <w:sz w:val="21"/>
                <w:szCs w:val="21"/>
              </w:rPr>
            </w:pPr>
            <w:r>
              <w:rPr>
                <w:rFonts w:hint="eastAsia" w:hAnsi="宋体" w:cs="宋体"/>
                <w:color w:val="000000"/>
                <w:sz w:val="21"/>
                <w:szCs w:val="21"/>
              </w:rPr>
              <w:t>M3</w:t>
            </w:r>
          </w:p>
        </w:tc>
        <w:tc>
          <w:tcPr>
            <w:tcW w:w="1595" w:type="dxa"/>
            <w:vAlign w:val="center"/>
          </w:tcPr>
          <w:p w14:paraId="7F227006">
            <w:pPr>
              <w:jc w:val="center"/>
              <w:textAlignment w:val="center"/>
              <w:rPr>
                <w:rFonts w:hint="eastAsia" w:hAnsi="宋体" w:cs="宋体"/>
                <w:color w:val="000000"/>
                <w:sz w:val="21"/>
                <w:szCs w:val="21"/>
              </w:rPr>
            </w:pPr>
            <w:r>
              <w:rPr>
                <w:rFonts w:hint="eastAsia" w:hAnsi="宋体" w:cs="宋体"/>
                <w:color w:val="000000"/>
                <w:sz w:val="21"/>
                <w:szCs w:val="21"/>
              </w:rPr>
              <w:t>/</w:t>
            </w:r>
          </w:p>
        </w:tc>
        <w:tc>
          <w:tcPr>
            <w:tcW w:w="900" w:type="dxa"/>
            <w:vAlign w:val="center"/>
          </w:tcPr>
          <w:p w14:paraId="6730A31E">
            <w:pPr>
              <w:jc w:val="center"/>
              <w:rPr>
                <w:rFonts w:hint="eastAsia" w:hAnsi="宋体" w:cs="宋体"/>
                <w:color w:val="000000"/>
                <w:sz w:val="21"/>
                <w:szCs w:val="21"/>
              </w:rPr>
            </w:pPr>
            <w:r>
              <w:rPr>
                <w:rFonts w:hint="eastAsia" w:hAnsi="宋体" w:cs="宋体"/>
                <w:color w:val="000000"/>
                <w:sz w:val="21"/>
                <w:szCs w:val="21"/>
              </w:rPr>
              <w:t>/</w:t>
            </w:r>
          </w:p>
        </w:tc>
        <w:tc>
          <w:tcPr>
            <w:tcW w:w="1714" w:type="dxa"/>
            <w:vAlign w:val="center"/>
          </w:tcPr>
          <w:p w14:paraId="4FEEA95D">
            <w:pPr>
              <w:jc w:val="center"/>
              <w:textAlignment w:val="center"/>
              <w:rPr>
                <w:rFonts w:hint="eastAsia" w:hAnsi="宋体" w:eastAsia="宋体" w:cs="宋体"/>
                <w:color w:val="000000"/>
                <w:sz w:val="21"/>
                <w:szCs w:val="21"/>
                <w:lang w:eastAsia="zh-CN"/>
              </w:rPr>
            </w:pPr>
            <w:r>
              <w:rPr>
                <w:rFonts w:hint="eastAsia" w:hAnsi="宋体" w:cs="宋体"/>
                <w:color w:val="000000"/>
                <w:sz w:val="21"/>
                <w:szCs w:val="21"/>
                <w:lang w:val="en-US" w:eastAsia="zh-CN"/>
              </w:rPr>
              <w:t>0</w:t>
            </w:r>
          </w:p>
        </w:tc>
        <w:tc>
          <w:tcPr>
            <w:tcW w:w="1020" w:type="dxa"/>
          </w:tcPr>
          <w:p w14:paraId="11E42B1B">
            <w:pPr>
              <w:spacing w:line="390" w:lineRule="exact"/>
              <w:rPr>
                <w:rFonts w:hint="eastAsia" w:hAnsi="宋体" w:cs="宋体"/>
                <w:color w:val="000000"/>
                <w:sz w:val="21"/>
                <w:szCs w:val="21"/>
              </w:rPr>
            </w:pPr>
          </w:p>
        </w:tc>
      </w:tr>
      <w:tr w14:paraId="6D5D5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trPr>
        <w:tc>
          <w:tcPr>
            <w:tcW w:w="754" w:type="dxa"/>
            <w:vAlign w:val="center"/>
          </w:tcPr>
          <w:p w14:paraId="02DBD7A4">
            <w:pPr>
              <w:jc w:val="center"/>
              <w:textAlignment w:val="center"/>
              <w:rPr>
                <w:rFonts w:hint="eastAsia" w:hAnsi="宋体" w:cs="宋体"/>
                <w:color w:val="000000"/>
                <w:sz w:val="21"/>
                <w:szCs w:val="21"/>
              </w:rPr>
            </w:pPr>
            <w:r>
              <w:rPr>
                <w:rFonts w:hint="eastAsia" w:hAnsi="宋体" w:cs="宋体"/>
                <w:color w:val="000000"/>
                <w:sz w:val="21"/>
                <w:szCs w:val="21"/>
                <w:lang w:bidi="ar"/>
              </w:rPr>
              <w:t>3</w:t>
            </w:r>
          </w:p>
        </w:tc>
        <w:tc>
          <w:tcPr>
            <w:tcW w:w="1389" w:type="dxa"/>
            <w:vAlign w:val="center"/>
          </w:tcPr>
          <w:p w14:paraId="46EC6B58">
            <w:pPr>
              <w:jc w:val="center"/>
              <w:textAlignment w:val="center"/>
              <w:rPr>
                <w:rFonts w:hint="eastAsia" w:hAnsi="宋体" w:cs="宋体"/>
                <w:color w:val="000000"/>
                <w:sz w:val="21"/>
                <w:szCs w:val="21"/>
              </w:rPr>
            </w:pPr>
            <w:r>
              <w:rPr>
                <w:rFonts w:hint="eastAsia" w:hAnsi="宋体" w:cs="宋体"/>
                <w:color w:val="000000"/>
                <w:sz w:val="21"/>
                <w:szCs w:val="21"/>
              </w:rPr>
              <w:t>砂石</w:t>
            </w:r>
          </w:p>
        </w:tc>
        <w:tc>
          <w:tcPr>
            <w:tcW w:w="1568" w:type="dxa"/>
            <w:vAlign w:val="center"/>
          </w:tcPr>
          <w:p w14:paraId="76DEF4B8">
            <w:pPr>
              <w:jc w:val="center"/>
              <w:textAlignment w:val="center"/>
              <w:rPr>
                <w:rFonts w:hint="eastAsia" w:hAnsi="宋体" w:cs="宋体"/>
                <w:color w:val="000000"/>
                <w:sz w:val="21"/>
                <w:szCs w:val="21"/>
              </w:rPr>
            </w:pPr>
            <w:r>
              <w:rPr>
                <w:rFonts w:hint="eastAsia" w:hAnsi="宋体" w:cs="宋体"/>
                <w:color w:val="000000"/>
                <w:sz w:val="21"/>
                <w:szCs w:val="21"/>
              </w:rPr>
              <w:t>不分规格型号</w:t>
            </w:r>
          </w:p>
        </w:tc>
        <w:tc>
          <w:tcPr>
            <w:tcW w:w="677" w:type="dxa"/>
            <w:vAlign w:val="center"/>
          </w:tcPr>
          <w:p w14:paraId="625F414F">
            <w:pPr>
              <w:jc w:val="center"/>
              <w:textAlignment w:val="center"/>
              <w:rPr>
                <w:rFonts w:hint="eastAsia" w:hAnsi="宋体" w:cs="宋体"/>
                <w:color w:val="000000"/>
                <w:sz w:val="21"/>
                <w:szCs w:val="21"/>
              </w:rPr>
            </w:pPr>
            <w:r>
              <w:rPr>
                <w:rFonts w:hint="eastAsia" w:hAnsi="宋体" w:cs="宋体"/>
                <w:color w:val="000000"/>
                <w:sz w:val="21"/>
                <w:szCs w:val="21"/>
              </w:rPr>
              <w:t>M3</w:t>
            </w:r>
          </w:p>
        </w:tc>
        <w:tc>
          <w:tcPr>
            <w:tcW w:w="1595" w:type="dxa"/>
            <w:vAlign w:val="center"/>
          </w:tcPr>
          <w:p w14:paraId="7B59674F">
            <w:pPr>
              <w:jc w:val="center"/>
              <w:textAlignment w:val="center"/>
              <w:rPr>
                <w:rFonts w:hint="eastAsia" w:hAnsi="宋体" w:cs="宋体"/>
                <w:color w:val="000000"/>
                <w:sz w:val="21"/>
                <w:szCs w:val="21"/>
              </w:rPr>
            </w:pPr>
            <w:r>
              <w:rPr>
                <w:rFonts w:hint="eastAsia" w:hAnsi="宋体" w:cs="宋体"/>
                <w:color w:val="000000"/>
                <w:sz w:val="21"/>
                <w:szCs w:val="21"/>
              </w:rPr>
              <w:t>/</w:t>
            </w:r>
          </w:p>
        </w:tc>
        <w:tc>
          <w:tcPr>
            <w:tcW w:w="900" w:type="dxa"/>
            <w:vAlign w:val="center"/>
          </w:tcPr>
          <w:p w14:paraId="2FDD4C51">
            <w:pPr>
              <w:jc w:val="center"/>
              <w:rPr>
                <w:rFonts w:hint="eastAsia" w:hAnsi="宋体" w:cs="宋体"/>
                <w:color w:val="000000"/>
                <w:sz w:val="21"/>
                <w:szCs w:val="21"/>
              </w:rPr>
            </w:pPr>
            <w:r>
              <w:rPr>
                <w:rFonts w:hint="eastAsia" w:hAnsi="宋体" w:cs="宋体"/>
                <w:color w:val="000000"/>
                <w:sz w:val="21"/>
                <w:szCs w:val="21"/>
              </w:rPr>
              <w:t>/</w:t>
            </w:r>
          </w:p>
        </w:tc>
        <w:tc>
          <w:tcPr>
            <w:tcW w:w="1714" w:type="dxa"/>
            <w:vAlign w:val="center"/>
          </w:tcPr>
          <w:p w14:paraId="57C59AC3">
            <w:pPr>
              <w:jc w:val="center"/>
              <w:textAlignment w:val="center"/>
              <w:rPr>
                <w:rFonts w:hint="eastAsia" w:hAnsi="宋体" w:cs="宋体"/>
                <w:color w:val="000000"/>
                <w:sz w:val="21"/>
                <w:szCs w:val="21"/>
              </w:rPr>
            </w:pPr>
            <w:r>
              <w:rPr>
                <w:rFonts w:hint="eastAsia" w:hAnsi="宋体" w:cs="宋体"/>
                <w:color w:val="000000"/>
                <w:sz w:val="21"/>
                <w:szCs w:val="21"/>
              </w:rPr>
              <w:t>2</w:t>
            </w:r>
          </w:p>
        </w:tc>
        <w:tc>
          <w:tcPr>
            <w:tcW w:w="1020" w:type="dxa"/>
          </w:tcPr>
          <w:p w14:paraId="52CF14CA">
            <w:pPr>
              <w:spacing w:line="390" w:lineRule="exact"/>
              <w:rPr>
                <w:rFonts w:hint="eastAsia" w:hAnsi="宋体" w:cs="宋体"/>
                <w:color w:val="000000"/>
                <w:sz w:val="21"/>
                <w:szCs w:val="21"/>
              </w:rPr>
            </w:pPr>
          </w:p>
        </w:tc>
      </w:tr>
      <w:tr w14:paraId="7B39A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754" w:type="dxa"/>
            <w:vAlign w:val="center"/>
          </w:tcPr>
          <w:p w14:paraId="31C89DFC">
            <w:pPr>
              <w:jc w:val="center"/>
              <w:textAlignment w:val="center"/>
              <w:rPr>
                <w:rFonts w:hint="eastAsia" w:hAnsi="宋体" w:cs="宋体"/>
                <w:color w:val="000000"/>
                <w:sz w:val="21"/>
                <w:szCs w:val="21"/>
              </w:rPr>
            </w:pPr>
            <w:r>
              <w:rPr>
                <w:rFonts w:hint="eastAsia" w:hAnsi="宋体" w:cs="宋体"/>
                <w:color w:val="000000"/>
                <w:sz w:val="21"/>
                <w:szCs w:val="21"/>
                <w:lang w:bidi="ar"/>
              </w:rPr>
              <w:t>4</w:t>
            </w:r>
          </w:p>
        </w:tc>
        <w:tc>
          <w:tcPr>
            <w:tcW w:w="1389" w:type="dxa"/>
            <w:vAlign w:val="center"/>
          </w:tcPr>
          <w:p w14:paraId="78619E97">
            <w:pPr>
              <w:jc w:val="center"/>
              <w:textAlignment w:val="center"/>
              <w:rPr>
                <w:rFonts w:hint="eastAsia" w:hAnsi="宋体" w:cs="宋体"/>
                <w:color w:val="000000"/>
                <w:sz w:val="21"/>
                <w:szCs w:val="21"/>
              </w:rPr>
            </w:pPr>
            <w:r>
              <w:rPr>
                <w:rFonts w:hint="eastAsia" w:hAnsi="宋体" w:cs="宋体"/>
                <w:color w:val="000000"/>
                <w:sz w:val="21"/>
                <w:szCs w:val="21"/>
              </w:rPr>
              <w:t>水泥</w:t>
            </w:r>
          </w:p>
        </w:tc>
        <w:tc>
          <w:tcPr>
            <w:tcW w:w="1568" w:type="dxa"/>
            <w:vAlign w:val="center"/>
          </w:tcPr>
          <w:p w14:paraId="540E0316">
            <w:pPr>
              <w:jc w:val="center"/>
              <w:rPr>
                <w:rFonts w:hint="eastAsia" w:hAnsi="宋体" w:cs="宋体"/>
                <w:color w:val="000000"/>
                <w:sz w:val="21"/>
                <w:szCs w:val="21"/>
              </w:rPr>
            </w:pPr>
            <w:r>
              <w:rPr>
                <w:rFonts w:hint="eastAsia" w:hAnsi="宋体" w:cs="宋体"/>
                <w:color w:val="000000"/>
                <w:sz w:val="21"/>
                <w:szCs w:val="21"/>
              </w:rPr>
              <w:t>不分规格型号</w:t>
            </w:r>
          </w:p>
        </w:tc>
        <w:tc>
          <w:tcPr>
            <w:tcW w:w="677" w:type="dxa"/>
            <w:vAlign w:val="center"/>
          </w:tcPr>
          <w:p w14:paraId="38994320">
            <w:pPr>
              <w:jc w:val="center"/>
              <w:textAlignment w:val="center"/>
              <w:rPr>
                <w:rFonts w:hint="eastAsia" w:hAnsi="宋体" w:cs="宋体"/>
                <w:color w:val="000000"/>
                <w:sz w:val="21"/>
                <w:szCs w:val="21"/>
              </w:rPr>
            </w:pPr>
            <w:r>
              <w:rPr>
                <w:rFonts w:hint="eastAsia" w:hAnsi="宋体" w:cs="宋体"/>
                <w:color w:val="000000"/>
                <w:sz w:val="21"/>
                <w:szCs w:val="21"/>
              </w:rPr>
              <w:t>M3</w:t>
            </w:r>
          </w:p>
        </w:tc>
        <w:tc>
          <w:tcPr>
            <w:tcW w:w="1595" w:type="dxa"/>
            <w:vAlign w:val="center"/>
          </w:tcPr>
          <w:p w14:paraId="6AB0FE2F">
            <w:pPr>
              <w:jc w:val="center"/>
              <w:textAlignment w:val="center"/>
              <w:rPr>
                <w:rFonts w:hint="eastAsia" w:hAnsi="宋体" w:cs="宋体"/>
                <w:color w:val="000000"/>
                <w:sz w:val="21"/>
                <w:szCs w:val="21"/>
              </w:rPr>
            </w:pPr>
            <w:r>
              <w:rPr>
                <w:rFonts w:hint="eastAsia" w:hAnsi="宋体" w:cs="宋体"/>
                <w:color w:val="000000"/>
                <w:sz w:val="21"/>
                <w:szCs w:val="21"/>
              </w:rPr>
              <w:t>/</w:t>
            </w:r>
          </w:p>
        </w:tc>
        <w:tc>
          <w:tcPr>
            <w:tcW w:w="900" w:type="dxa"/>
            <w:vAlign w:val="center"/>
          </w:tcPr>
          <w:p w14:paraId="23144FEE">
            <w:pPr>
              <w:jc w:val="center"/>
              <w:rPr>
                <w:rFonts w:hint="eastAsia" w:hAnsi="宋体" w:cs="宋体"/>
                <w:color w:val="000000"/>
                <w:sz w:val="21"/>
                <w:szCs w:val="21"/>
              </w:rPr>
            </w:pPr>
            <w:r>
              <w:rPr>
                <w:rFonts w:hint="eastAsia" w:hAnsi="宋体" w:cs="宋体"/>
                <w:color w:val="000000"/>
                <w:sz w:val="21"/>
                <w:szCs w:val="21"/>
              </w:rPr>
              <w:t>/</w:t>
            </w:r>
          </w:p>
        </w:tc>
        <w:tc>
          <w:tcPr>
            <w:tcW w:w="1714" w:type="dxa"/>
            <w:vAlign w:val="center"/>
          </w:tcPr>
          <w:p w14:paraId="5D4B24CB">
            <w:pPr>
              <w:jc w:val="center"/>
              <w:textAlignment w:val="center"/>
              <w:rPr>
                <w:rFonts w:hint="eastAsia" w:hAnsi="宋体" w:cs="宋体"/>
                <w:color w:val="000000"/>
                <w:sz w:val="21"/>
                <w:szCs w:val="21"/>
              </w:rPr>
            </w:pPr>
            <w:r>
              <w:rPr>
                <w:rFonts w:hint="eastAsia" w:hAnsi="宋体" w:cs="宋体"/>
                <w:color w:val="000000"/>
                <w:sz w:val="21"/>
                <w:szCs w:val="21"/>
              </w:rPr>
              <w:t>1</w:t>
            </w:r>
          </w:p>
        </w:tc>
        <w:tc>
          <w:tcPr>
            <w:tcW w:w="1020" w:type="dxa"/>
          </w:tcPr>
          <w:p w14:paraId="26CF5697">
            <w:pPr>
              <w:spacing w:line="390" w:lineRule="exact"/>
              <w:rPr>
                <w:rFonts w:hint="eastAsia" w:hAnsi="宋体" w:cs="宋体"/>
                <w:color w:val="000000"/>
                <w:sz w:val="21"/>
                <w:szCs w:val="21"/>
              </w:rPr>
            </w:pPr>
          </w:p>
        </w:tc>
      </w:tr>
      <w:tr w14:paraId="734D3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trPr>
        <w:tc>
          <w:tcPr>
            <w:tcW w:w="754" w:type="dxa"/>
            <w:vAlign w:val="center"/>
          </w:tcPr>
          <w:p w14:paraId="6DAF1605">
            <w:pPr>
              <w:widowControl/>
              <w:jc w:val="center"/>
              <w:textAlignment w:val="center"/>
              <w:rPr>
                <w:rFonts w:hint="eastAsia" w:hAnsi="宋体" w:cs="宋体"/>
                <w:color w:val="000000"/>
                <w:sz w:val="21"/>
                <w:szCs w:val="21"/>
              </w:rPr>
            </w:pPr>
            <w:r>
              <w:rPr>
                <w:rFonts w:hint="eastAsia" w:hAnsi="宋体" w:cs="宋体"/>
                <w:color w:val="000000"/>
                <w:sz w:val="21"/>
                <w:szCs w:val="21"/>
                <w:lang w:bidi="ar"/>
              </w:rPr>
              <w:t>5</w:t>
            </w:r>
          </w:p>
        </w:tc>
        <w:tc>
          <w:tcPr>
            <w:tcW w:w="1389" w:type="dxa"/>
            <w:vAlign w:val="center"/>
          </w:tcPr>
          <w:p w14:paraId="70ECA37E">
            <w:pPr>
              <w:widowControl/>
              <w:jc w:val="center"/>
              <w:textAlignment w:val="center"/>
              <w:rPr>
                <w:rFonts w:hint="eastAsia" w:hAnsi="宋体" w:cs="宋体"/>
                <w:color w:val="000000"/>
                <w:sz w:val="21"/>
                <w:szCs w:val="21"/>
              </w:rPr>
            </w:pPr>
            <w:r>
              <w:rPr>
                <w:rFonts w:hint="eastAsia" w:hAnsi="宋体" w:cs="宋体"/>
                <w:color w:val="000000"/>
                <w:sz w:val="21"/>
                <w:szCs w:val="21"/>
              </w:rPr>
              <w:t>砖</w:t>
            </w:r>
          </w:p>
        </w:tc>
        <w:tc>
          <w:tcPr>
            <w:tcW w:w="1568" w:type="dxa"/>
            <w:vAlign w:val="center"/>
          </w:tcPr>
          <w:p w14:paraId="41490558">
            <w:pPr>
              <w:jc w:val="center"/>
              <w:rPr>
                <w:rFonts w:hint="eastAsia" w:hAnsi="宋体" w:cs="宋体"/>
                <w:color w:val="000000"/>
                <w:sz w:val="21"/>
                <w:szCs w:val="21"/>
              </w:rPr>
            </w:pPr>
            <w:r>
              <w:rPr>
                <w:rFonts w:hint="eastAsia" w:hAnsi="宋体" w:cs="宋体"/>
                <w:color w:val="000000"/>
                <w:sz w:val="21"/>
                <w:szCs w:val="21"/>
              </w:rPr>
              <w:t>不分规格型号</w:t>
            </w:r>
          </w:p>
        </w:tc>
        <w:tc>
          <w:tcPr>
            <w:tcW w:w="677" w:type="dxa"/>
            <w:vAlign w:val="center"/>
          </w:tcPr>
          <w:p w14:paraId="295EE274">
            <w:pPr>
              <w:widowControl/>
              <w:jc w:val="center"/>
              <w:textAlignment w:val="center"/>
              <w:rPr>
                <w:rFonts w:hint="eastAsia" w:hAnsi="宋体" w:cs="宋体"/>
                <w:color w:val="000000"/>
                <w:sz w:val="21"/>
                <w:szCs w:val="21"/>
              </w:rPr>
            </w:pPr>
            <w:r>
              <w:rPr>
                <w:rFonts w:hint="eastAsia" w:hAnsi="宋体" w:cs="宋体"/>
                <w:color w:val="000000"/>
                <w:sz w:val="21"/>
                <w:szCs w:val="21"/>
              </w:rPr>
              <w:t>M3</w:t>
            </w:r>
          </w:p>
        </w:tc>
        <w:tc>
          <w:tcPr>
            <w:tcW w:w="1595" w:type="dxa"/>
            <w:vAlign w:val="center"/>
          </w:tcPr>
          <w:p w14:paraId="38223BAE">
            <w:pPr>
              <w:widowControl/>
              <w:jc w:val="center"/>
              <w:textAlignment w:val="center"/>
              <w:rPr>
                <w:rFonts w:hint="eastAsia" w:hAnsi="宋体" w:cs="宋体"/>
                <w:color w:val="000000"/>
                <w:sz w:val="21"/>
                <w:szCs w:val="21"/>
              </w:rPr>
            </w:pPr>
            <w:r>
              <w:rPr>
                <w:rFonts w:hint="eastAsia" w:hAnsi="宋体" w:cs="宋体"/>
                <w:color w:val="000000"/>
                <w:sz w:val="21"/>
                <w:szCs w:val="21"/>
              </w:rPr>
              <w:t>/</w:t>
            </w:r>
          </w:p>
        </w:tc>
        <w:tc>
          <w:tcPr>
            <w:tcW w:w="900" w:type="dxa"/>
            <w:vAlign w:val="center"/>
          </w:tcPr>
          <w:p w14:paraId="14585D40">
            <w:pPr>
              <w:widowControl/>
              <w:jc w:val="center"/>
              <w:textAlignment w:val="center"/>
              <w:rPr>
                <w:rFonts w:hint="eastAsia" w:hAnsi="宋体" w:cs="宋体"/>
                <w:color w:val="000000"/>
                <w:sz w:val="21"/>
                <w:szCs w:val="21"/>
              </w:rPr>
            </w:pPr>
            <w:r>
              <w:rPr>
                <w:rFonts w:hint="eastAsia" w:hAnsi="宋体" w:cs="宋体"/>
                <w:color w:val="000000"/>
                <w:sz w:val="21"/>
                <w:szCs w:val="21"/>
              </w:rPr>
              <w:t>/</w:t>
            </w:r>
          </w:p>
        </w:tc>
        <w:tc>
          <w:tcPr>
            <w:tcW w:w="1714" w:type="dxa"/>
            <w:vAlign w:val="center"/>
          </w:tcPr>
          <w:p w14:paraId="1CFE2E54">
            <w:pPr>
              <w:widowControl/>
              <w:jc w:val="center"/>
              <w:textAlignment w:val="center"/>
              <w:rPr>
                <w:rFonts w:hint="eastAsia" w:hAnsi="宋体" w:eastAsia="宋体" w:cs="宋体"/>
                <w:color w:val="000000"/>
                <w:sz w:val="21"/>
                <w:szCs w:val="21"/>
                <w:lang w:eastAsia="zh-CN"/>
              </w:rPr>
            </w:pPr>
            <w:r>
              <w:rPr>
                <w:rFonts w:hint="eastAsia" w:hAnsi="宋体" w:cs="宋体"/>
                <w:color w:val="000000"/>
                <w:sz w:val="21"/>
                <w:szCs w:val="21"/>
                <w:lang w:val="en-US" w:eastAsia="zh-CN"/>
              </w:rPr>
              <w:t>0</w:t>
            </w:r>
          </w:p>
        </w:tc>
        <w:tc>
          <w:tcPr>
            <w:tcW w:w="1020" w:type="dxa"/>
          </w:tcPr>
          <w:p w14:paraId="5E440A54">
            <w:pPr>
              <w:spacing w:line="390" w:lineRule="exact"/>
              <w:jc w:val="center"/>
              <w:rPr>
                <w:rFonts w:hint="eastAsia" w:hAnsi="宋体" w:cs="宋体"/>
                <w:color w:val="000000"/>
                <w:sz w:val="21"/>
                <w:szCs w:val="21"/>
              </w:rPr>
            </w:pPr>
          </w:p>
        </w:tc>
      </w:tr>
      <w:tr w14:paraId="538E0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trPr>
        <w:tc>
          <w:tcPr>
            <w:tcW w:w="754" w:type="dxa"/>
            <w:vAlign w:val="center"/>
          </w:tcPr>
          <w:p w14:paraId="73AE2636">
            <w:pPr>
              <w:jc w:val="center"/>
              <w:textAlignment w:val="center"/>
              <w:rPr>
                <w:rFonts w:hint="eastAsia" w:hAnsi="宋体" w:cs="宋体"/>
                <w:color w:val="000000"/>
                <w:sz w:val="21"/>
                <w:szCs w:val="21"/>
              </w:rPr>
            </w:pPr>
            <w:r>
              <w:rPr>
                <w:rFonts w:hint="eastAsia" w:hAnsi="宋体" w:cs="宋体"/>
                <w:color w:val="000000"/>
                <w:sz w:val="21"/>
                <w:szCs w:val="21"/>
              </w:rPr>
              <w:t>6</w:t>
            </w:r>
          </w:p>
        </w:tc>
        <w:tc>
          <w:tcPr>
            <w:tcW w:w="1389" w:type="dxa"/>
            <w:vAlign w:val="center"/>
          </w:tcPr>
          <w:p w14:paraId="7AFCE79D">
            <w:pPr>
              <w:jc w:val="center"/>
              <w:textAlignment w:val="center"/>
              <w:rPr>
                <w:rFonts w:hint="eastAsia" w:hAnsi="宋体" w:cs="宋体"/>
                <w:color w:val="000000"/>
                <w:sz w:val="21"/>
                <w:szCs w:val="21"/>
              </w:rPr>
            </w:pPr>
            <w:r>
              <w:rPr>
                <w:rFonts w:hint="eastAsia" w:hAnsi="宋体" w:cs="宋体"/>
                <w:color w:val="0000FF"/>
                <w:sz w:val="21"/>
                <w:szCs w:val="21"/>
              </w:rPr>
              <w:t>地下室外墙防水保护板</w:t>
            </w:r>
          </w:p>
        </w:tc>
        <w:tc>
          <w:tcPr>
            <w:tcW w:w="1568" w:type="dxa"/>
            <w:vAlign w:val="center"/>
          </w:tcPr>
          <w:p w14:paraId="534E77EE">
            <w:pPr>
              <w:jc w:val="center"/>
              <w:rPr>
                <w:rFonts w:hint="eastAsia" w:hAnsi="宋体" w:cs="宋体"/>
                <w:color w:val="000000"/>
                <w:sz w:val="21"/>
                <w:szCs w:val="21"/>
              </w:rPr>
            </w:pPr>
            <w:r>
              <w:rPr>
                <w:rFonts w:hint="eastAsia" w:hAnsi="宋体" w:cs="宋体"/>
                <w:color w:val="000000"/>
                <w:sz w:val="21"/>
                <w:szCs w:val="21"/>
              </w:rPr>
              <w:t>不分规格型号</w:t>
            </w:r>
          </w:p>
        </w:tc>
        <w:tc>
          <w:tcPr>
            <w:tcW w:w="677" w:type="dxa"/>
            <w:vAlign w:val="center"/>
          </w:tcPr>
          <w:p w14:paraId="045BD615">
            <w:pPr>
              <w:jc w:val="center"/>
              <w:textAlignment w:val="center"/>
              <w:rPr>
                <w:rFonts w:hint="eastAsia" w:hAnsi="宋体" w:cs="宋体"/>
                <w:color w:val="000000"/>
                <w:sz w:val="21"/>
                <w:szCs w:val="21"/>
              </w:rPr>
            </w:pPr>
            <w:r>
              <w:rPr>
                <w:rFonts w:hint="eastAsia" w:hAnsi="宋体" w:cs="宋体"/>
                <w:color w:val="000000"/>
                <w:sz w:val="21"/>
                <w:szCs w:val="21"/>
              </w:rPr>
              <w:t>M2</w:t>
            </w:r>
          </w:p>
        </w:tc>
        <w:tc>
          <w:tcPr>
            <w:tcW w:w="1595" w:type="dxa"/>
            <w:vAlign w:val="center"/>
          </w:tcPr>
          <w:p w14:paraId="52309754">
            <w:pPr>
              <w:jc w:val="center"/>
              <w:textAlignment w:val="center"/>
              <w:rPr>
                <w:rFonts w:hint="eastAsia" w:hAnsi="宋体" w:cs="宋体"/>
                <w:color w:val="000000"/>
                <w:sz w:val="21"/>
                <w:szCs w:val="21"/>
              </w:rPr>
            </w:pPr>
            <w:r>
              <w:rPr>
                <w:rFonts w:hint="eastAsia" w:hAnsi="宋体" w:cs="宋体"/>
                <w:color w:val="000000"/>
                <w:sz w:val="21"/>
                <w:szCs w:val="21"/>
              </w:rPr>
              <w:t>/</w:t>
            </w:r>
          </w:p>
        </w:tc>
        <w:tc>
          <w:tcPr>
            <w:tcW w:w="900" w:type="dxa"/>
            <w:vAlign w:val="center"/>
          </w:tcPr>
          <w:p w14:paraId="2D2A5818">
            <w:pPr>
              <w:jc w:val="center"/>
              <w:rPr>
                <w:rFonts w:hint="eastAsia" w:hAnsi="宋体" w:cs="宋体"/>
                <w:color w:val="000000"/>
                <w:sz w:val="21"/>
                <w:szCs w:val="21"/>
              </w:rPr>
            </w:pPr>
            <w:r>
              <w:rPr>
                <w:rFonts w:hint="eastAsia" w:hAnsi="宋体" w:cs="宋体"/>
                <w:color w:val="000000"/>
                <w:sz w:val="21"/>
                <w:szCs w:val="21"/>
              </w:rPr>
              <w:t>/</w:t>
            </w:r>
          </w:p>
        </w:tc>
        <w:tc>
          <w:tcPr>
            <w:tcW w:w="1714" w:type="dxa"/>
            <w:vAlign w:val="center"/>
          </w:tcPr>
          <w:p w14:paraId="4C825DBF">
            <w:pPr>
              <w:jc w:val="center"/>
              <w:textAlignment w:val="center"/>
              <w:rPr>
                <w:rFonts w:hint="eastAsia" w:hAnsi="宋体" w:cs="宋体"/>
                <w:color w:val="000000"/>
                <w:sz w:val="21"/>
                <w:szCs w:val="21"/>
              </w:rPr>
            </w:pPr>
            <w:r>
              <w:rPr>
                <w:rFonts w:hint="eastAsia" w:hAnsi="宋体" w:cs="宋体"/>
                <w:color w:val="000000"/>
                <w:sz w:val="21"/>
                <w:szCs w:val="21"/>
              </w:rPr>
              <w:t>1</w:t>
            </w:r>
          </w:p>
        </w:tc>
        <w:tc>
          <w:tcPr>
            <w:tcW w:w="1020" w:type="dxa"/>
          </w:tcPr>
          <w:p w14:paraId="405337BC">
            <w:pPr>
              <w:spacing w:line="390" w:lineRule="exact"/>
              <w:rPr>
                <w:rFonts w:hint="eastAsia" w:hAnsi="宋体" w:cs="宋体"/>
                <w:color w:val="000000"/>
                <w:sz w:val="21"/>
                <w:szCs w:val="21"/>
              </w:rPr>
            </w:pPr>
          </w:p>
        </w:tc>
      </w:tr>
      <w:tr w14:paraId="1F01D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trPr>
        <w:tc>
          <w:tcPr>
            <w:tcW w:w="754" w:type="dxa"/>
            <w:vAlign w:val="center"/>
          </w:tcPr>
          <w:p w14:paraId="0BDC75B9">
            <w:pPr>
              <w:jc w:val="center"/>
              <w:textAlignment w:val="center"/>
              <w:rPr>
                <w:rFonts w:hint="eastAsia" w:hAnsi="宋体" w:cs="宋体"/>
                <w:color w:val="000000"/>
                <w:sz w:val="21"/>
                <w:szCs w:val="21"/>
              </w:rPr>
            </w:pPr>
            <w:r>
              <w:rPr>
                <w:rFonts w:hint="eastAsia" w:hAnsi="宋体" w:cs="宋体"/>
                <w:color w:val="000000"/>
                <w:sz w:val="21"/>
                <w:szCs w:val="21"/>
              </w:rPr>
              <w:t>7</w:t>
            </w:r>
          </w:p>
        </w:tc>
        <w:tc>
          <w:tcPr>
            <w:tcW w:w="1389" w:type="dxa"/>
            <w:vAlign w:val="center"/>
          </w:tcPr>
          <w:p w14:paraId="239CFA59">
            <w:pPr>
              <w:jc w:val="center"/>
              <w:textAlignment w:val="center"/>
              <w:rPr>
                <w:rFonts w:hint="eastAsia" w:hAnsi="宋体" w:cs="宋体"/>
                <w:color w:val="000000"/>
                <w:sz w:val="21"/>
                <w:szCs w:val="21"/>
              </w:rPr>
            </w:pPr>
            <w:r>
              <w:rPr>
                <w:rFonts w:hint="eastAsia" w:hAnsi="宋体" w:cs="宋体"/>
                <w:color w:val="0000FF"/>
                <w:sz w:val="21"/>
                <w:szCs w:val="21"/>
              </w:rPr>
              <w:t>屋面保温板</w:t>
            </w:r>
          </w:p>
        </w:tc>
        <w:tc>
          <w:tcPr>
            <w:tcW w:w="1568" w:type="dxa"/>
            <w:vAlign w:val="center"/>
          </w:tcPr>
          <w:p w14:paraId="583CEE64">
            <w:pPr>
              <w:jc w:val="center"/>
              <w:rPr>
                <w:rFonts w:hint="eastAsia" w:hAnsi="宋体" w:cs="宋体"/>
                <w:color w:val="000000"/>
                <w:sz w:val="21"/>
                <w:szCs w:val="21"/>
              </w:rPr>
            </w:pPr>
            <w:r>
              <w:rPr>
                <w:rFonts w:hint="eastAsia" w:hAnsi="宋体" w:cs="宋体"/>
                <w:color w:val="000000"/>
                <w:sz w:val="21"/>
                <w:szCs w:val="21"/>
              </w:rPr>
              <w:t>不分规格型号</w:t>
            </w:r>
          </w:p>
        </w:tc>
        <w:tc>
          <w:tcPr>
            <w:tcW w:w="677" w:type="dxa"/>
            <w:vAlign w:val="center"/>
          </w:tcPr>
          <w:p w14:paraId="349245CD">
            <w:pPr>
              <w:jc w:val="center"/>
              <w:textAlignment w:val="center"/>
              <w:rPr>
                <w:rFonts w:hint="eastAsia" w:hAnsi="宋体" w:cs="宋体"/>
                <w:color w:val="000000"/>
                <w:sz w:val="21"/>
                <w:szCs w:val="21"/>
              </w:rPr>
            </w:pPr>
            <w:r>
              <w:rPr>
                <w:rFonts w:hint="eastAsia" w:hAnsi="宋体" w:cs="宋体"/>
                <w:color w:val="000000"/>
                <w:sz w:val="21"/>
                <w:szCs w:val="21"/>
              </w:rPr>
              <w:t>M2</w:t>
            </w:r>
          </w:p>
        </w:tc>
        <w:tc>
          <w:tcPr>
            <w:tcW w:w="1595" w:type="dxa"/>
            <w:vAlign w:val="center"/>
          </w:tcPr>
          <w:p w14:paraId="6A8C8A49">
            <w:pPr>
              <w:jc w:val="center"/>
              <w:textAlignment w:val="center"/>
              <w:rPr>
                <w:rFonts w:hint="eastAsia" w:hAnsi="宋体" w:cs="宋体"/>
                <w:color w:val="000000"/>
                <w:sz w:val="21"/>
                <w:szCs w:val="21"/>
              </w:rPr>
            </w:pPr>
            <w:r>
              <w:rPr>
                <w:rFonts w:hint="eastAsia" w:hAnsi="宋体" w:cs="宋体"/>
                <w:color w:val="000000"/>
                <w:sz w:val="21"/>
                <w:szCs w:val="21"/>
              </w:rPr>
              <w:t>/</w:t>
            </w:r>
          </w:p>
        </w:tc>
        <w:tc>
          <w:tcPr>
            <w:tcW w:w="900" w:type="dxa"/>
            <w:vAlign w:val="center"/>
          </w:tcPr>
          <w:p w14:paraId="2CA1F0EE">
            <w:pPr>
              <w:jc w:val="center"/>
              <w:rPr>
                <w:rFonts w:hint="eastAsia" w:hAnsi="宋体" w:cs="宋体"/>
                <w:color w:val="000000"/>
                <w:sz w:val="21"/>
                <w:szCs w:val="21"/>
              </w:rPr>
            </w:pPr>
            <w:r>
              <w:rPr>
                <w:rFonts w:hint="eastAsia" w:hAnsi="宋体" w:cs="宋体"/>
                <w:color w:val="000000"/>
                <w:sz w:val="21"/>
                <w:szCs w:val="21"/>
              </w:rPr>
              <w:t>/</w:t>
            </w:r>
          </w:p>
        </w:tc>
        <w:tc>
          <w:tcPr>
            <w:tcW w:w="1714" w:type="dxa"/>
            <w:vAlign w:val="center"/>
          </w:tcPr>
          <w:p w14:paraId="5BA4AF34">
            <w:pPr>
              <w:jc w:val="center"/>
              <w:textAlignment w:val="center"/>
              <w:rPr>
                <w:rFonts w:hint="eastAsia" w:hAnsi="宋体" w:cs="宋体"/>
                <w:color w:val="000000"/>
                <w:sz w:val="21"/>
                <w:szCs w:val="21"/>
              </w:rPr>
            </w:pPr>
            <w:r>
              <w:rPr>
                <w:rFonts w:hint="eastAsia" w:hAnsi="宋体" w:cs="宋体"/>
                <w:color w:val="000000"/>
                <w:sz w:val="21"/>
                <w:szCs w:val="21"/>
              </w:rPr>
              <w:t>1</w:t>
            </w:r>
          </w:p>
        </w:tc>
        <w:tc>
          <w:tcPr>
            <w:tcW w:w="1020" w:type="dxa"/>
          </w:tcPr>
          <w:p w14:paraId="57E24870">
            <w:pPr>
              <w:spacing w:line="390" w:lineRule="exact"/>
              <w:rPr>
                <w:rFonts w:hint="eastAsia" w:hAnsi="宋体" w:cs="宋体"/>
                <w:color w:val="000000"/>
                <w:sz w:val="21"/>
                <w:szCs w:val="21"/>
              </w:rPr>
            </w:pPr>
          </w:p>
        </w:tc>
      </w:tr>
    </w:tbl>
    <w:p w14:paraId="042BEC70">
      <w:pPr>
        <w:numPr>
          <w:ilvl w:val="0"/>
          <w:numId w:val="0"/>
        </w:numPr>
        <w:spacing w:line="360" w:lineRule="auto"/>
        <w:rPr>
          <w:rFonts w:hint="eastAsia" w:hAnsi="宋体" w:eastAsia="宋体" w:cs="宋体"/>
          <w:kern w:val="2"/>
          <w:sz w:val="28"/>
          <w:szCs w:val="28"/>
          <w:lang w:eastAsia="zh-CN" w:bidi="ar"/>
        </w:rPr>
      </w:pPr>
      <w:r>
        <w:rPr>
          <w:rFonts w:hint="eastAsia" w:hAnsi="宋体" w:eastAsia="宋体" w:cs="宋体"/>
          <w:kern w:val="2"/>
          <w:sz w:val="28"/>
          <w:szCs w:val="28"/>
          <w:lang w:eastAsia="zh-CN" w:bidi="ar"/>
        </w:rPr>
        <w:drawing>
          <wp:inline distT="0" distB="0" distL="114300" distR="114300">
            <wp:extent cx="6644005" cy="4920615"/>
            <wp:effectExtent l="0" t="0" r="5715" b="1905"/>
            <wp:docPr id="1" name="图片 1" descr="c1cffc63-b808-4b37-ac48-468f4a377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1cffc63-b808-4b37-ac48-468f4a377624"/>
                    <pic:cNvPicPr>
                      <a:picLocks noChangeAspect="1"/>
                    </pic:cNvPicPr>
                  </pic:nvPicPr>
                  <pic:blipFill>
                    <a:blip r:embed="rId90"/>
                    <a:stretch>
                      <a:fillRect/>
                    </a:stretch>
                  </pic:blipFill>
                  <pic:spPr>
                    <a:xfrm>
                      <a:off x="0" y="0"/>
                      <a:ext cx="6644005" cy="4920615"/>
                    </a:xfrm>
                    <a:prstGeom prst="rect">
                      <a:avLst/>
                    </a:prstGeom>
                  </pic:spPr>
                </pic:pic>
              </a:graphicData>
            </a:graphic>
          </wp:inline>
        </w:drawing>
      </w:r>
    </w:p>
    <w:p w14:paraId="53E13161">
      <w:pPr>
        <w:pStyle w:val="2"/>
        <w:jc w:val="center"/>
        <w:rPr>
          <w:rFonts w:hint="default" w:eastAsia="宋体"/>
          <w:lang w:val="en-US" w:eastAsia="zh-CN"/>
        </w:rPr>
      </w:pPr>
      <w:r>
        <w:rPr>
          <w:rFonts w:hint="eastAsia"/>
          <w:lang w:val="en-US" w:eastAsia="zh-CN"/>
        </w:rPr>
        <w:t>塔吊覆盖图</w:t>
      </w:r>
    </w:p>
    <w:sectPr>
      <w:pgSz w:w="11906" w:h="16838"/>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default"/>
    <w:sig w:usb0="E0002EFF" w:usb1="C000785B" w:usb2="00000009" w:usb3="00000000" w:csb0="400001FF" w:csb1="FFFF0000"/>
  </w:font>
  <w:font w:name="宋体">
    <w:panose1 w:val="02010600030101010101"/>
    <w:charset w:val="8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107018"/>
    <w:multiLevelType w:val="singleLevel"/>
    <w:tmpl w:val="1C107018"/>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EA33EB"/>
    <w:rsid w:val="06EA33EB"/>
    <w:rsid w:val="14775122"/>
    <w:rsid w:val="2EB1691F"/>
    <w:rsid w:val="76CE2A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Times New Roman" w:eastAsia="宋体" w:cs="Times New Roman"/>
      <w:sz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pPr>
  </w:style>
  <w:style w:type="paragraph" w:styleId="3">
    <w:name w:val="toc 3"/>
    <w:basedOn w:val="1"/>
    <w:next w:val="1"/>
    <w:qFormat/>
    <w:uiPriority w:val="39"/>
    <w:pPr>
      <w:ind w:left="420"/>
      <w:jc w:val="left"/>
    </w:pPr>
    <w:rPr>
      <w:i/>
      <w:iCs/>
      <w:sz w:val="20"/>
    </w:rPr>
  </w:style>
  <w:style w:type="paragraph" w:styleId="4">
    <w:name w:val="Normal (Web)"/>
    <w:basedOn w:val="1"/>
    <w:qFormat/>
    <w:uiPriority w:val="0"/>
    <w:pPr>
      <w:widowControl/>
      <w:spacing w:before="100" w:beforeAutospacing="1" w:after="100" w:afterAutospacing="1"/>
      <w:jc w:val="left"/>
    </w:pPr>
    <w:rPr>
      <w:rFonts w:hAnsi="宋体" w:cs="宋体"/>
      <w:color w:val="0066CC"/>
      <w:szCs w:val="22"/>
    </w:rPr>
  </w:style>
  <w:style w:type="paragraph" w:customStyle="1" w:styleId="7">
    <w:name w:val="列出段落1"/>
    <w:basedOn w:val="1"/>
    <w:autoRedefine/>
    <w:qFormat/>
    <w:uiPriority w:val="0"/>
    <w:pPr>
      <w:ind w:firstLine="420" w:firstLineChars="200"/>
    </w:pPr>
    <w:rPr>
      <w:rFonts w:ascii="Calibri" w:hAnsi="Calibri"/>
      <w:kern w:val="2"/>
      <w:sz w:val="21"/>
      <w:szCs w:val="24"/>
    </w:rPr>
  </w:style>
  <w:style w:type="paragraph" w:styleId="8">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2" Type="http://schemas.openxmlformats.org/officeDocument/2006/relationships/fontTable" Target="fontTable.xml"/><Relationship Id="rId91" Type="http://schemas.openxmlformats.org/officeDocument/2006/relationships/numbering" Target="numbering.xml"/><Relationship Id="rId90" Type="http://schemas.openxmlformats.org/officeDocument/2006/relationships/image" Target="media/image87.png"/><Relationship Id="rId9" Type="http://schemas.openxmlformats.org/officeDocument/2006/relationships/image" Target="media/image6.png"/><Relationship Id="rId89" Type="http://schemas.openxmlformats.org/officeDocument/2006/relationships/image" Target="media/image86.png"/><Relationship Id="rId88" Type="http://schemas.openxmlformats.org/officeDocument/2006/relationships/image" Target="media/image85.png"/><Relationship Id="rId87" Type="http://schemas.openxmlformats.org/officeDocument/2006/relationships/image" Target="media/image84.png"/><Relationship Id="rId86" Type="http://schemas.openxmlformats.org/officeDocument/2006/relationships/image" Target="media/image83.png"/><Relationship Id="rId85" Type="http://schemas.openxmlformats.org/officeDocument/2006/relationships/image" Target="media/image82.png"/><Relationship Id="rId84" Type="http://schemas.openxmlformats.org/officeDocument/2006/relationships/image" Target="media/image81.png"/><Relationship Id="rId83" Type="http://schemas.openxmlformats.org/officeDocument/2006/relationships/image" Target="media/image80.jpeg"/><Relationship Id="rId82" Type="http://schemas.openxmlformats.org/officeDocument/2006/relationships/image" Target="media/image79.jpeg"/><Relationship Id="rId81" Type="http://schemas.openxmlformats.org/officeDocument/2006/relationships/image" Target="media/image78.jpeg"/><Relationship Id="rId80" Type="http://schemas.openxmlformats.org/officeDocument/2006/relationships/image" Target="media/image77.jpeg"/><Relationship Id="rId8" Type="http://schemas.openxmlformats.org/officeDocument/2006/relationships/image" Target="media/image5.jpeg"/><Relationship Id="rId79" Type="http://schemas.openxmlformats.org/officeDocument/2006/relationships/image" Target="media/image76.jpeg"/><Relationship Id="rId78" Type="http://schemas.openxmlformats.org/officeDocument/2006/relationships/image" Target="media/image75.jpeg"/><Relationship Id="rId77" Type="http://schemas.openxmlformats.org/officeDocument/2006/relationships/image" Target="media/image74.png"/><Relationship Id="rId76" Type="http://schemas.openxmlformats.org/officeDocument/2006/relationships/image" Target="media/image73.png"/><Relationship Id="rId75" Type="http://schemas.openxmlformats.org/officeDocument/2006/relationships/image" Target="media/image72.png"/><Relationship Id="rId74" Type="http://schemas.openxmlformats.org/officeDocument/2006/relationships/image" Target="media/image71.png"/><Relationship Id="rId73" Type="http://schemas.openxmlformats.org/officeDocument/2006/relationships/image" Target="media/image70.jpeg"/><Relationship Id="rId72" Type="http://schemas.openxmlformats.org/officeDocument/2006/relationships/image" Target="media/image69.jpeg"/><Relationship Id="rId71" Type="http://schemas.openxmlformats.org/officeDocument/2006/relationships/image" Target="media/image68.jpeg"/><Relationship Id="rId70" Type="http://schemas.openxmlformats.org/officeDocument/2006/relationships/image" Target="media/image67.png"/><Relationship Id="rId7" Type="http://schemas.openxmlformats.org/officeDocument/2006/relationships/image" Target="media/image4.jpeg"/><Relationship Id="rId69" Type="http://schemas.openxmlformats.org/officeDocument/2006/relationships/image" Target="media/image66.png"/><Relationship Id="rId68" Type="http://schemas.openxmlformats.org/officeDocument/2006/relationships/image" Target="media/image65.png"/><Relationship Id="rId67" Type="http://schemas.openxmlformats.org/officeDocument/2006/relationships/image" Target="media/image64.png"/><Relationship Id="rId66" Type="http://schemas.openxmlformats.org/officeDocument/2006/relationships/image" Target="media/image63.png"/><Relationship Id="rId65" Type="http://schemas.openxmlformats.org/officeDocument/2006/relationships/image" Target="media/image62.png"/><Relationship Id="rId64" Type="http://schemas.openxmlformats.org/officeDocument/2006/relationships/image" Target="media/image61.jpeg"/><Relationship Id="rId63" Type="http://schemas.openxmlformats.org/officeDocument/2006/relationships/image" Target="media/image60.png"/><Relationship Id="rId62" Type="http://schemas.openxmlformats.org/officeDocument/2006/relationships/image" Target="media/image59.jpeg"/><Relationship Id="rId61" Type="http://schemas.openxmlformats.org/officeDocument/2006/relationships/image" Target="media/image58.jpeg"/><Relationship Id="rId60" Type="http://schemas.openxmlformats.org/officeDocument/2006/relationships/image" Target="media/image57.png"/><Relationship Id="rId6" Type="http://schemas.openxmlformats.org/officeDocument/2006/relationships/image" Target="media/image3.jpeg"/><Relationship Id="rId59" Type="http://schemas.openxmlformats.org/officeDocument/2006/relationships/image" Target="media/image56.png"/><Relationship Id="rId58" Type="http://schemas.openxmlformats.org/officeDocument/2006/relationships/image" Target="media/image55.jpeg"/><Relationship Id="rId57" Type="http://schemas.openxmlformats.org/officeDocument/2006/relationships/image" Target="media/image54.png"/><Relationship Id="rId56" Type="http://schemas.openxmlformats.org/officeDocument/2006/relationships/image" Target="media/image53.jpeg"/><Relationship Id="rId55" Type="http://schemas.openxmlformats.org/officeDocument/2006/relationships/image" Target="media/image52.jpeg"/><Relationship Id="rId54" Type="http://schemas.openxmlformats.org/officeDocument/2006/relationships/image" Target="media/image51.jpeg"/><Relationship Id="rId53" Type="http://schemas.openxmlformats.org/officeDocument/2006/relationships/image" Target="media/image50.jpeg"/><Relationship Id="rId52" Type="http://schemas.openxmlformats.org/officeDocument/2006/relationships/image" Target="media/image49.jpeg"/><Relationship Id="rId51" Type="http://schemas.openxmlformats.org/officeDocument/2006/relationships/image" Target="media/image48.png"/><Relationship Id="rId50" Type="http://schemas.openxmlformats.org/officeDocument/2006/relationships/image" Target="media/image47.jpeg"/><Relationship Id="rId5" Type="http://schemas.openxmlformats.org/officeDocument/2006/relationships/image" Target="media/image2.jpeg"/><Relationship Id="rId49" Type="http://schemas.openxmlformats.org/officeDocument/2006/relationships/image" Target="media/image46.jpeg"/><Relationship Id="rId48" Type="http://schemas.openxmlformats.org/officeDocument/2006/relationships/image" Target="media/image45.jpeg"/><Relationship Id="rId47" Type="http://schemas.openxmlformats.org/officeDocument/2006/relationships/image" Target="media/image44.jpeg"/><Relationship Id="rId46" Type="http://schemas.openxmlformats.org/officeDocument/2006/relationships/image" Target="media/image43.jpeg"/><Relationship Id="rId45" Type="http://schemas.openxmlformats.org/officeDocument/2006/relationships/image" Target="media/image42.jpeg"/><Relationship Id="rId44" Type="http://schemas.openxmlformats.org/officeDocument/2006/relationships/image" Target="media/image41.jpeg"/><Relationship Id="rId43" Type="http://schemas.openxmlformats.org/officeDocument/2006/relationships/image" Target="media/image40.jpeg"/><Relationship Id="rId42" Type="http://schemas.openxmlformats.org/officeDocument/2006/relationships/image" Target="media/image39.png"/><Relationship Id="rId41" Type="http://schemas.openxmlformats.org/officeDocument/2006/relationships/image" Target="media/image38.jpeg"/><Relationship Id="rId40" Type="http://schemas.openxmlformats.org/officeDocument/2006/relationships/image" Target="media/image37.jpeg"/><Relationship Id="rId4" Type="http://schemas.openxmlformats.org/officeDocument/2006/relationships/image" Target="media/image1.png"/><Relationship Id="rId39" Type="http://schemas.openxmlformats.org/officeDocument/2006/relationships/image" Target="media/image36.jpeg"/><Relationship Id="rId38" Type="http://schemas.openxmlformats.org/officeDocument/2006/relationships/image" Target="media/image35.jpeg"/><Relationship Id="rId37" Type="http://schemas.openxmlformats.org/officeDocument/2006/relationships/image" Target="media/image34.jpeg"/><Relationship Id="rId36" Type="http://schemas.openxmlformats.org/officeDocument/2006/relationships/image" Target="media/image33.jpeg"/><Relationship Id="rId35" Type="http://schemas.openxmlformats.org/officeDocument/2006/relationships/image" Target="media/image32.jpeg"/><Relationship Id="rId34" Type="http://schemas.openxmlformats.org/officeDocument/2006/relationships/image" Target="media/image31.png"/><Relationship Id="rId33" Type="http://schemas.openxmlformats.org/officeDocument/2006/relationships/image" Target="media/image30.jpeg"/><Relationship Id="rId32" Type="http://schemas.openxmlformats.org/officeDocument/2006/relationships/image" Target="media/image29.jpeg"/><Relationship Id="rId31" Type="http://schemas.openxmlformats.org/officeDocument/2006/relationships/image" Target="media/image28.jpeg"/><Relationship Id="rId30" Type="http://schemas.openxmlformats.org/officeDocument/2006/relationships/image" Target="media/image27.jpeg"/><Relationship Id="rId3" Type="http://schemas.openxmlformats.org/officeDocument/2006/relationships/theme" Target="theme/theme1.xml"/><Relationship Id="rId29" Type="http://schemas.openxmlformats.org/officeDocument/2006/relationships/image" Target="media/image26.jpeg"/><Relationship Id="rId28" Type="http://schemas.openxmlformats.org/officeDocument/2006/relationships/image" Target="media/image25.jpeg"/><Relationship Id="rId27" Type="http://schemas.openxmlformats.org/officeDocument/2006/relationships/image" Target="media/image24.jpeg"/><Relationship Id="rId26" Type="http://schemas.openxmlformats.org/officeDocument/2006/relationships/image" Target="media/image23.png"/><Relationship Id="rId25" Type="http://schemas.openxmlformats.org/officeDocument/2006/relationships/image" Target="media/image22.jpeg"/><Relationship Id="rId24" Type="http://schemas.openxmlformats.org/officeDocument/2006/relationships/image" Target="media/image21.jpeg"/><Relationship Id="rId23" Type="http://schemas.openxmlformats.org/officeDocument/2006/relationships/image" Target="media/image20.jpeg"/><Relationship Id="rId22" Type="http://schemas.openxmlformats.org/officeDocument/2006/relationships/image" Target="media/image19.jpeg"/><Relationship Id="rId21" Type="http://schemas.openxmlformats.org/officeDocument/2006/relationships/image" Target="media/image18.jpeg"/><Relationship Id="rId20" Type="http://schemas.openxmlformats.org/officeDocument/2006/relationships/image" Target="media/image17.jpeg"/><Relationship Id="rId2" Type="http://schemas.openxmlformats.org/officeDocument/2006/relationships/settings" Target="settings.xml"/><Relationship Id="rId19" Type="http://schemas.openxmlformats.org/officeDocument/2006/relationships/image" Target="media/image16.jpeg"/><Relationship Id="rId18" Type="http://schemas.openxmlformats.org/officeDocument/2006/relationships/image" Target="media/image15.jpeg"/><Relationship Id="rId17" Type="http://schemas.openxmlformats.org/officeDocument/2006/relationships/image" Target="media/image14.jpeg"/><Relationship Id="rId16" Type="http://schemas.openxmlformats.org/officeDocument/2006/relationships/image" Target="media/image13.jpeg"/><Relationship Id="rId15" Type="http://schemas.openxmlformats.org/officeDocument/2006/relationships/image" Target="media/image12.jpeg"/><Relationship Id="rId14" Type="http://schemas.openxmlformats.org/officeDocument/2006/relationships/image" Target="media/image11.jpeg"/><Relationship Id="rId13" Type="http://schemas.openxmlformats.org/officeDocument/2006/relationships/image" Target="media/image10.jpeg"/><Relationship Id="rId12" Type="http://schemas.openxmlformats.org/officeDocument/2006/relationships/image" Target="media/image9.jpeg"/><Relationship Id="rId11" Type="http://schemas.openxmlformats.org/officeDocument/2006/relationships/image" Target="media/image8.jpeg"/><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48</Pages>
  <Words>25456</Words>
  <Characters>26453</Characters>
  <Lines>0</Lines>
  <Paragraphs>0</Paragraphs>
  <TotalTime>13</TotalTime>
  <ScaleCrop>false</ScaleCrop>
  <LinksUpToDate>false</LinksUpToDate>
  <CharactersWithSpaces>26778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2026-03-23T02:46:00Z</dcterms:created>
  <dc:creator>枫速</dc:creator>
  <cp:lastModifiedBy>枫速</cp:lastModifiedBy>
  <dcterms:modified xsi:type="dcterms:W3CDTF">2026-03-25T02:50:25Z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192B4591A513441D904928B9B07F5DF2_11</vt:lpwstr>
  </property>
  <property fmtid="{D5CDD505-2E9C-101B-9397-08002B2CF9AE}" pid="4" name="KSOTemplateDocerSaveRecord">
    <vt:lpwstr>eyJoZGlkIjoiYmEyYjZhODliYzc1MzQ5MTRmNTBhNzdlNmZlYmVjMTciLCJ1c2VySWQiOiIyNDYxMTI1OTcifQ==</vt:lpwstr>
  </property>
</Properties>
</file>