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9463A4">
      <w:pPr>
        <w:jc w:val="center"/>
        <w:rPr>
          <w:rFonts w:hint="eastAsia"/>
          <w:sz w:val="44"/>
          <w:szCs w:val="44"/>
        </w:rPr>
      </w:pPr>
      <w:r>
        <w:rPr>
          <w:rFonts w:hint="eastAsia"/>
          <w:sz w:val="44"/>
          <w:szCs w:val="44"/>
        </w:rPr>
        <w:t>澄清公告</w:t>
      </w:r>
    </w:p>
    <w:p w14:paraId="21FFBAB2">
      <w:pPr>
        <w:rPr>
          <w:rFonts w:hint="eastAsia" w:ascii="仿宋" w:hAnsi="仿宋" w:eastAsia="仿宋" w:cs="仿宋"/>
          <w:sz w:val="32"/>
          <w:szCs w:val="32"/>
        </w:rPr>
      </w:pPr>
      <w:r>
        <w:rPr>
          <w:rFonts w:hint="eastAsia" w:ascii="仿宋" w:hAnsi="仿宋" w:eastAsia="仿宋" w:cs="仿宋"/>
          <w:sz w:val="32"/>
          <w:szCs w:val="32"/>
        </w:rPr>
        <w:t>一、项目名称：苏滁文体中心施工项目体育馆幕墙专业分包</w:t>
      </w:r>
    </w:p>
    <w:p w14:paraId="37DAE1CD">
      <w:pPr>
        <w:rPr>
          <w:rFonts w:hint="eastAsia" w:ascii="仿宋" w:hAnsi="仿宋" w:eastAsia="仿宋" w:cs="仿宋"/>
          <w:sz w:val="32"/>
          <w:szCs w:val="32"/>
        </w:rPr>
      </w:pPr>
      <w:r>
        <w:rPr>
          <w:rFonts w:hint="eastAsia" w:ascii="仿宋" w:hAnsi="仿宋" w:eastAsia="仿宋" w:cs="仿宋"/>
          <w:sz w:val="32"/>
          <w:szCs w:val="32"/>
        </w:rPr>
        <w:t>二、采购编号：ACEG-202602714001001</w:t>
      </w:r>
    </w:p>
    <w:p w14:paraId="7CBF297B">
      <w:pPr>
        <w:rPr>
          <w:rFonts w:hint="eastAsia" w:ascii="仿宋" w:hAnsi="仿宋" w:eastAsia="仿宋" w:cs="仿宋"/>
          <w:sz w:val="32"/>
          <w:szCs w:val="32"/>
        </w:rPr>
      </w:pPr>
      <w:r>
        <w:rPr>
          <w:rFonts w:hint="eastAsia" w:ascii="仿宋" w:hAnsi="仿宋" w:eastAsia="仿宋" w:cs="仿宋"/>
          <w:sz w:val="32"/>
          <w:szCs w:val="32"/>
        </w:rPr>
        <w:t>三、采购人：安徽建工建设安装集团公路工程有限责任公司；</w:t>
      </w:r>
    </w:p>
    <w:p w14:paraId="410B4C4A">
      <w:pPr>
        <w:rPr>
          <w:rFonts w:hint="eastAsia" w:ascii="仿宋" w:hAnsi="仿宋" w:eastAsia="仿宋" w:cs="仿宋"/>
          <w:sz w:val="32"/>
          <w:szCs w:val="32"/>
        </w:rPr>
      </w:pPr>
      <w:r>
        <w:rPr>
          <w:rFonts w:hint="eastAsia" w:ascii="仿宋" w:hAnsi="仿宋" w:eastAsia="仿宋" w:cs="仿宋"/>
          <w:sz w:val="32"/>
          <w:szCs w:val="32"/>
        </w:rPr>
        <w:t>四、采购范围：本项目体育馆幕墙专业分包所需人工、所有主辅材采购安装、机械设备均由承包方提供，包含完成全部施工内容的一切费用，具体以招标文件清单及图纸要求工作内容为准。投标报价以提供的招标文件及施工图纸作为报价基础，投标人报价时综合考虑，风险自行承担，具体范围及要求详见招标文件、招标文件答疑、施工图纸设计及规范要求。含图纸深化、方案编制、专家论证评审、相关检测及验收、移交业主等所有费用。</w:t>
      </w:r>
    </w:p>
    <w:p w14:paraId="53D5FD92">
      <w:pPr>
        <w:rPr>
          <w:rFonts w:hint="eastAsia" w:ascii="仿宋" w:hAnsi="仿宋" w:eastAsia="仿宋" w:cs="仿宋"/>
          <w:sz w:val="32"/>
          <w:szCs w:val="32"/>
        </w:rPr>
      </w:pPr>
      <w:r>
        <w:rPr>
          <w:rFonts w:hint="eastAsia" w:ascii="仿宋" w:hAnsi="仿宋" w:eastAsia="仿宋" w:cs="仿宋"/>
          <w:sz w:val="32"/>
          <w:szCs w:val="32"/>
        </w:rPr>
        <w:t>五、采购方式：公开招标</w:t>
      </w:r>
    </w:p>
    <w:p w14:paraId="102E8E55">
      <w:pPr>
        <w:rPr>
          <w:rFonts w:hint="eastAsia" w:ascii="仿宋" w:hAnsi="仿宋" w:eastAsia="仿宋" w:cs="仿宋"/>
          <w:sz w:val="32"/>
          <w:szCs w:val="32"/>
        </w:rPr>
      </w:pPr>
      <w:r>
        <w:rPr>
          <w:rFonts w:hint="eastAsia" w:ascii="仿宋" w:hAnsi="仿宋" w:eastAsia="仿宋" w:cs="仿宋"/>
          <w:sz w:val="32"/>
          <w:szCs w:val="32"/>
        </w:rPr>
        <w:t>六、澄清内容及回复：</w:t>
      </w:r>
    </w:p>
    <w:p w14:paraId="4B007296">
      <w:pPr>
        <w:ind w:firstLine="640" w:firstLineChars="200"/>
        <w:rPr>
          <w:rFonts w:hint="eastAsia" w:ascii="仿宋" w:hAnsi="仿宋" w:eastAsia="仿宋" w:cs="仿宋"/>
          <w:sz w:val="32"/>
          <w:szCs w:val="32"/>
        </w:rPr>
      </w:pPr>
      <w:r>
        <w:rPr>
          <w:rFonts w:hint="eastAsia" w:ascii="仿宋" w:hAnsi="仿宋" w:eastAsia="仿宋" w:cs="仿宋"/>
          <w:sz w:val="32"/>
          <w:szCs w:val="32"/>
        </w:rPr>
        <w:t>1、招标文件注明所需人工、所有主辅材采购安装、机械设备均由承包方提供，但是报价清单备注中写明铝单板材料费由招标人提供，请问以哪个为准来报价？</w:t>
      </w:r>
    </w:p>
    <w:p w14:paraId="6C08966A">
      <w:pPr>
        <w:ind w:firstLine="640" w:firstLineChars="200"/>
        <w:rPr>
          <w:rFonts w:hint="eastAsia" w:ascii="仿宋" w:hAnsi="仿宋" w:eastAsia="仿宋" w:cs="仿宋"/>
          <w:sz w:val="32"/>
          <w:szCs w:val="32"/>
        </w:rPr>
      </w:pPr>
      <w:r>
        <w:rPr>
          <w:rFonts w:hint="eastAsia" w:ascii="仿宋" w:hAnsi="仿宋" w:eastAsia="仿宋" w:cs="仿宋"/>
          <w:sz w:val="32"/>
          <w:szCs w:val="32"/>
        </w:rPr>
        <w:t>回复：铝单板材料由招标人提供，按照报价清单备注执行。</w:t>
      </w:r>
    </w:p>
    <w:p w14:paraId="272BA47C">
      <w:pPr>
        <w:ind w:firstLine="640" w:firstLineChars="200"/>
        <w:jc w:val="left"/>
        <w:rPr>
          <w:rFonts w:hint="eastAsia" w:ascii="仿宋" w:hAnsi="仿宋" w:eastAsia="仿宋" w:cs="仿宋"/>
          <w:sz w:val="32"/>
          <w:szCs w:val="32"/>
        </w:rPr>
      </w:pPr>
      <w:r>
        <w:rPr>
          <w:rFonts w:hint="eastAsia" w:ascii="仿宋" w:hAnsi="仿宋" w:eastAsia="仿宋" w:cs="仿宋"/>
          <w:sz w:val="32"/>
          <w:szCs w:val="32"/>
        </w:rPr>
        <w:t>2、设计说明中要求所有玻璃均需要均质，清单描述均未注明，报价是否需要考虑？</w:t>
      </w:r>
      <w:r>
        <w:rPr>
          <w:rFonts w:hint="eastAsia" w:eastAsia="宋体"/>
          <w:sz w:val="24"/>
          <w:szCs w:val="32"/>
          <w:lang w:eastAsia="zh-CN"/>
        </w:rPr>
        <w:drawing>
          <wp:inline distT="0" distB="0" distL="114300" distR="114300">
            <wp:extent cx="4745990" cy="1176020"/>
            <wp:effectExtent l="0" t="0" r="16510" b="5080"/>
            <wp:docPr id="10" name="图片 10" descr="5631e6fe-2f46-441c-a510-67f203843b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5631e6fe-2f46-441c-a510-67f203843b63"/>
                    <pic:cNvPicPr>
                      <a:picLocks noChangeAspect="1"/>
                    </pic:cNvPicPr>
                  </pic:nvPicPr>
                  <pic:blipFill>
                    <a:blip r:embed="rId4"/>
                    <a:stretch>
                      <a:fillRect/>
                    </a:stretch>
                  </pic:blipFill>
                  <pic:spPr>
                    <a:xfrm>
                      <a:off x="0" y="0"/>
                      <a:ext cx="4745990" cy="1176020"/>
                    </a:xfrm>
                    <a:prstGeom prst="rect">
                      <a:avLst/>
                    </a:prstGeom>
                    <a:noFill/>
                    <a:ln>
                      <a:noFill/>
                    </a:ln>
                  </pic:spPr>
                </pic:pic>
              </a:graphicData>
            </a:graphic>
          </wp:inline>
        </w:drawing>
      </w:r>
    </w:p>
    <w:p w14:paraId="45F2EE23">
      <w:pPr>
        <w:ind w:firstLine="640" w:firstLineChars="200"/>
        <w:rPr>
          <w:rFonts w:hint="eastAsia" w:ascii="仿宋" w:hAnsi="仿宋" w:eastAsia="仿宋" w:cs="仿宋"/>
          <w:sz w:val="32"/>
          <w:szCs w:val="32"/>
        </w:rPr>
      </w:pPr>
      <w:r>
        <w:rPr>
          <w:rFonts w:hint="eastAsia" w:ascii="仿宋" w:hAnsi="仿宋" w:eastAsia="仿宋" w:cs="仿宋"/>
          <w:sz w:val="32"/>
          <w:szCs w:val="32"/>
        </w:rPr>
        <w:t>回复：按照图纸说明执行。</w:t>
      </w:r>
    </w:p>
    <w:p w14:paraId="1F1D7FED">
      <w:pPr>
        <w:numPr>
          <w:ilvl w:val="0"/>
          <w:numId w:val="1"/>
        </w:numPr>
        <w:ind w:firstLine="640" w:firstLineChars="200"/>
        <w:rPr>
          <w:rFonts w:hint="eastAsia" w:ascii="仿宋" w:hAnsi="仿宋" w:eastAsia="仿宋" w:cs="仿宋"/>
          <w:sz w:val="32"/>
          <w:szCs w:val="32"/>
        </w:rPr>
      </w:pPr>
      <w:r>
        <w:rPr>
          <w:rFonts w:hint="eastAsia" w:ascii="仿宋" w:hAnsi="仿宋" w:eastAsia="仿宋" w:cs="仿宋"/>
          <w:sz w:val="32"/>
          <w:szCs w:val="32"/>
        </w:rPr>
        <w:t>所有玻璃幕墙清单中表面氟碳喷涂处理具体指哪里？如下截图</w:t>
      </w:r>
    </w:p>
    <w:p w14:paraId="1E46CF1B">
      <w:pPr>
        <w:numPr>
          <w:ilvl w:val="0"/>
          <w:numId w:val="0"/>
        </w:numPr>
        <w:rPr>
          <w:rFonts w:hint="eastAsia" w:ascii="仿宋" w:hAnsi="仿宋" w:eastAsia="仿宋" w:cs="仿宋"/>
          <w:sz w:val="32"/>
          <w:szCs w:val="32"/>
        </w:rPr>
      </w:pPr>
      <w:r>
        <w:drawing>
          <wp:inline distT="0" distB="0" distL="114300" distR="114300">
            <wp:extent cx="5022850" cy="1482090"/>
            <wp:effectExtent l="0" t="0" r="6350" b="381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5"/>
                    <a:stretch>
                      <a:fillRect/>
                    </a:stretch>
                  </pic:blipFill>
                  <pic:spPr>
                    <a:xfrm>
                      <a:off x="0" y="0"/>
                      <a:ext cx="5022850" cy="1482090"/>
                    </a:xfrm>
                    <a:prstGeom prst="rect">
                      <a:avLst/>
                    </a:prstGeom>
                    <a:noFill/>
                    <a:ln>
                      <a:noFill/>
                    </a:ln>
                  </pic:spPr>
                </pic:pic>
              </a:graphicData>
            </a:graphic>
          </wp:inline>
        </w:drawing>
      </w:r>
    </w:p>
    <w:p w14:paraId="678175C9">
      <w:pPr>
        <w:ind w:firstLine="640" w:firstLineChars="200"/>
        <w:rPr>
          <w:rFonts w:hint="eastAsia" w:ascii="仿宋" w:hAnsi="仿宋" w:eastAsia="仿宋" w:cs="仿宋"/>
          <w:sz w:val="32"/>
          <w:szCs w:val="32"/>
        </w:rPr>
      </w:pPr>
      <w:r>
        <w:rPr>
          <w:rFonts w:hint="eastAsia" w:ascii="仿宋" w:hAnsi="仿宋" w:eastAsia="仿宋" w:cs="仿宋"/>
          <w:sz w:val="32"/>
          <w:szCs w:val="32"/>
        </w:rPr>
        <w:t>回复：此处是对应的幕墙龙骨的油漆氟碳喷涂，不在玻璃幕墙清单考虑范畴。</w:t>
      </w:r>
    </w:p>
    <w:p w14:paraId="7104FBDB">
      <w:pPr>
        <w:numPr>
          <w:ilvl w:val="0"/>
          <w:numId w:val="1"/>
        </w:numPr>
        <w:ind w:left="0" w:leftChars="0" w:firstLine="640" w:firstLineChars="200"/>
        <w:rPr>
          <w:rFonts w:hint="eastAsia" w:ascii="仿宋" w:hAnsi="仿宋" w:eastAsia="仿宋" w:cs="仿宋"/>
          <w:sz w:val="32"/>
          <w:szCs w:val="32"/>
        </w:rPr>
      </w:pPr>
      <w:r>
        <w:rPr>
          <w:rFonts w:hint="eastAsia" w:ascii="仿宋" w:hAnsi="仿宋" w:eastAsia="仿宋" w:cs="仿宋"/>
          <w:sz w:val="32"/>
          <w:szCs w:val="32"/>
        </w:rPr>
        <w:t>TP6 LOW-E+12Ar+TP6中空玻璃地弹门清单无，如下截图。</w:t>
      </w:r>
    </w:p>
    <w:p w14:paraId="3479609E">
      <w:pPr>
        <w:numPr>
          <w:ilvl w:val="0"/>
          <w:numId w:val="0"/>
        </w:numPr>
        <w:ind w:leftChars="200"/>
        <w:rPr>
          <w:rFonts w:hint="eastAsia" w:ascii="仿宋" w:hAnsi="仿宋" w:eastAsia="仿宋" w:cs="仿宋"/>
          <w:sz w:val="32"/>
          <w:szCs w:val="32"/>
        </w:rPr>
      </w:pPr>
      <w:r>
        <w:rPr>
          <w:rFonts w:hint="eastAsia" w:ascii="仿宋" w:hAnsi="仿宋" w:eastAsia="仿宋" w:cs="仿宋"/>
          <w:color w:val="auto"/>
          <w:sz w:val="32"/>
          <w:szCs w:val="32"/>
          <w:lang w:val="en-US" w:eastAsia="zh-CN"/>
        </w:rPr>
        <w:drawing>
          <wp:inline distT="0" distB="0" distL="114300" distR="114300">
            <wp:extent cx="4170045" cy="925830"/>
            <wp:effectExtent l="0" t="0" r="1905" b="7620"/>
            <wp:docPr id="14" name="图片 14" descr="1d78d834-4bc5-4daf-ba08-0f22e1231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1d78d834-4bc5-4daf-ba08-0f22e1231224"/>
                    <pic:cNvPicPr>
                      <a:picLocks noChangeAspect="1"/>
                    </pic:cNvPicPr>
                  </pic:nvPicPr>
                  <pic:blipFill>
                    <a:blip r:embed="rId6"/>
                    <a:stretch>
                      <a:fillRect/>
                    </a:stretch>
                  </pic:blipFill>
                  <pic:spPr>
                    <a:xfrm>
                      <a:off x="0" y="0"/>
                      <a:ext cx="4170045" cy="925830"/>
                    </a:xfrm>
                    <a:prstGeom prst="rect">
                      <a:avLst/>
                    </a:prstGeom>
                    <a:noFill/>
                    <a:ln>
                      <a:noFill/>
                    </a:ln>
                  </pic:spPr>
                </pic:pic>
              </a:graphicData>
            </a:graphic>
          </wp:inline>
        </w:drawing>
      </w:r>
    </w:p>
    <w:p w14:paraId="7E13C435">
      <w:pPr>
        <w:ind w:firstLine="640" w:firstLineChars="200"/>
        <w:rPr>
          <w:rFonts w:hint="eastAsia" w:ascii="仿宋" w:hAnsi="仿宋" w:eastAsia="仿宋" w:cs="仿宋"/>
          <w:sz w:val="32"/>
          <w:szCs w:val="32"/>
        </w:rPr>
      </w:pPr>
      <w:r>
        <w:rPr>
          <w:rFonts w:hint="eastAsia" w:ascii="仿宋" w:hAnsi="仿宋" w:eastAsia="仿宋" w:cs="仿宋"/>
          <w:sz w:val="32"/>
          <w:szCs w:val="32"/>
        </w:rPr>
        <w:t>回复：中空玻璃地弹门不在本次的招标范围内。</w:t>
      </w:r>
    </w:p>
    <w:p w14:paraId="12790480">
      <w:pPr>
        <w:numPr>
          <w:ilvl w:val="0"/>
          <w:numId w:val="1"/>
        </w:numPr>
        <w:ind w:left="0" w:leftChars="0" w:firstLine="640" w:firstLineChars="200"/>
        <w:rPr>
          <w:rFonts w:hint="eastAsia" w:ascii="仿宋" w:hAnsi="仿宋" w:eastAsia="仿宋" w:cs="仿宋"/>
          <w:sz w:val="32"/>
          <w:szCs w:val="32"/>
        </w:rPr>
      </w:pPr>
      <w:r>
        <w:rPr>
          <w:rFonts w:hint="eastAsia" w:ascii="仿宋" w:hAnsi="仿宋" w:eastAsia="仿宋" w:cs="仿宋"/>
          <w:sz w:val="32"/>
          <w:szCs w:val="32"/>
        </w:rPr>
        <w:t>清单第6、7、8项所有4、5mm穿孔铝板及20mm蜂窝铝板处铝合金通长固定件费用是否计入在铝合金型材龙骨清单内？如下截图。</w:t>
      </w:r>
    </w:p>
    <w:p w14:paraId="733F3376">
      <w:pPr>
        <w:numPr>
          <w:ilvl w:val="0"/>
          <w:numId w:val="0"/>
        </w:numPr>
        <w:ind w:leftChars="200"/>
        <w:rPr>
          <w:rFonts w:hint="eastAsia" w:ascii="仿宋" w:hAnsi="仿宋" w:eastAsia="仿宋" w:cs="仿宋"/>
          <w:sz w:val="32"/>
          <w:szCs w:val="32"/>
        </w:rPr>
      </w:pPr>
      <w:r>
        <w:rPr>
          <w:rFonts w:hint="eastAsia" w:eastAsia="宋体"/>
          <w:sz w:val="24"/>
          <w:szCs w:val="32"/>
          <w:lang w:eastAsia="zh-CN"/>
        </w:rPr>
        <w:drawing>
          <wp:inline distT="0" distB="0" distL="114300" distR="114300">
            <wp:extent cx="2348865" cy="1642110"/>
            <wp:effectExtent l="0" t="0" r="13335" b="15240"/>
            <wp:docPr id="15" name="图片 15" descr="f4f8f115-62b3-425b-9e54-6920745b1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f4f8f115-62b3-425b-9e54-6920745b1147"/>
                    <pic:cNvPicPr>
                      <a:picLocks noChangeAspect="1"/>
                    </pic:cNvPicPr>
                  </pic:nvPicPr>
                  <pic:blipFill>
                    <a:blip r:embed="rId7"/>
                    <a:stretch>
                      <a:fillRect/>
                    </a:stretch>
                  </pic:blipFill>
                  <pic:spPr>
                    <a:xfrm>
                      <a:off x="0" y="0"/>
                      <a:ext cx="2348865" cy="1642110"/>
                    </a:xfrm>
                    <a:prstGeom prst="rect">
                      <a:avLst/>
                    </a:prstGeom>
                    <a:noFill/>
                    <a:ln>
                      <a:noFill/>
                    </a:ln>
                  </pic:spPr>
                </pic:pic>
              </a:graphicData>
            </a:graphic>
          </wp:inline>
        </w:drawing>
      </w:r>
      <w:r>
        <w:rPr>
          <w:rFonts w:hint="eastAsia" w:eastAsia="宋体"/>
          <w:sz w:val="24"/>
          <w:szCs w:val="32"/>
          <w:lang w:eastAsia="zh-CN"/>
        </w:rPr>
        <w:drawing>
          <wp:inline distT="0" distB="0" distL="114300" distR="114300">
            <wp:extent cx="1822450" cy="1637665"/>
            <wp:effectExtent l="0" t="0" r="6350" b="635"/>
            <wp:docPr id="16" name="图片 16" descr="face075e-2936-49d4-8b81-e6840af9b4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face075e-2936-49d4-8b81-e6840af9b4e7"/>
                    <pic:cNvPicPr>
                      <a:picLocks noChangeAspect="1"/>
                    </pic:cNvPicPr>
                  </pic:nvPicPr>
                  <pic:blipFill>
                    <a:blip r:embed="rId8"/>
                    <a:stretch>
                      <a:fillRect/>
                    </a:stretch>
                  </pic:blipFill>
                  <pic:spPr>
                    <a:xfrm>
                      <a:off x="0" y="0"/>
                      <a:ext cx="1822450" cy="1637665"/>
                    </a:xfrm>
                    <a:prstGeom prst="rect">
                      <a:avLst/>
                    </a:prstGeom>
                    <a:noFill/>
                    <a:ln>
                      <a:noFill/>
                    </a:ln>
                  </pic:spPr>
                </pic:pic>
              </a:graphicData>
            </a:graphic>
          </wp:inline>
        </w:drawing>
      </w:r>
      <w:r>
        <w:rPr>
          <w:rFonts w:hint="eastAsia" w:eastAsia="宋体"/>
          <w:sz w:val="24"/>
          <w:szCs w:val="32"/>
          <w:lang w:eastAsia="zh-CN"/>
        </w:rPr>
        <w:drawing>
          <wp:inline distT="0" distB="0" distL="114300" distR="114300">
            <wp:extent cx="2153920" cy="1636395"/>
            <wp:effectExtent l="0" t="0" r="17780" b="1905"/>
            <wp:docPr id="17" name="图片 17" descr="f717f80c-4c26-4ec3-b326-7f86ebba42b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f717f80c-4c26-4ec3-b326-7f86ebba42b8"/>
                    <pic:cNvPicPr>
                      <a:picLocks noChangeAspect="1"/>
                    </pic:cNvPicPr>
                  </pic:nvPicPr>
                  <pic:blipFill>
                    <a:blip r:embed="rId9"/>
                    <a:stretch>
                      <a:fillRect/>
                    </a:stretch>
                  </pic:blipFill>
                  <pic:spPr>
                    <a:xfrm>
                      <a:off x="0" y="0"/>
                      <a:ext cx="2153920" cy="1636395"/>
                    </a:xfrm>
                    <a:prstGeom prst="rect">
                      <a:avLst/>
                    </a:prstGeom>
                    <a:noFill/>
                    <a:ln>
                      <a:noFill/>
                    </a:ln>
                  </pic:spPr>
                </pic:pic>
              </a:graphicData>
            </a:graphic>
          </wp:inline>
        </w:drawing>
      </w:r>
    </w:p>
    <w:p w14:paraId="603E899A">
      <w:pPr>
        <w:ind w:firstLine="640" w:firstLineChars="200"/>
        <w:rPr>
          <w:rFonts w:hint="eastAsia" w:ascii="仿宋" w:hAnsi="仿宋" w:eastAsia="仿宋" w:cs="仿宋"/>
          <w:sz w:val="32"/>
          <w:szCs w:val="32"/>
        </w:rPr>
      </w:pPr>
      <w:r>
        <w:rPr>
          <w:rFonts w:hint="eastAsia" w:ascii="仿宋" w:hAnsi="仿宋" w:eastAsia="仿宋" w:cs="仿宋"/>
          <w:sz w:val="32"/>
          <w:szCs w:val="32"/>
        </w:rPr>
        <w:t>回复：铝合金通长固定件费用已综合考虑在铝合金型材龙骨中，不再单独列项。</w:t>
      </w:r>
    </w:p>
    <w:p w14:paraId="45F12958">
      <w:pPr>
        <w:ind w:firstLine="640" w:firstLineChars="200"/>
        <w:rPr>
          <w:rFonts w:hint="eastAsia" w:ascii="仿宋" w:hAnsi="仿宋" w:eastAsia="仿宋" w:cs="仿宋"/>
          <w:sz w:val="32"/>
          <w:szCs w:val="32"/>
        </w:rPr>
      </w:pPr>
      <w:r>
        <w:rPr>
          <w:rFonts w:hint="eastAsia" w:ascii="仿宋" w:hAnsi="仿宋" w:eastAsia="仿宋" w:cs="仿宋"/>
          <w:sz w:val="32"/>
          <w:szCs w:val="32"/>
        </w:rPr>
        <w:t>6、清单第9项“铝合金格栅”无具体尺寸规格，是否为立面格栅详节点W-01A-1701A？如是，则此格栅市场成本价远高于控制价，请核实。</w:t>
      </w:r>
    </w:p>
    <w:p w14:paraId="6E1DB733">
      <w:pPr>
        <w:ind w:firstLine="640" w:firstLineChars="200"/>
        <w:rPr>
          <w:rFonts w:hint="eastAsia" w:ascii="仿宋" w:hAnsi="仿宋" w:eastAsia="仿宋" w:cs="仿宋"/>
          <w:sz w:val="32"/>
          <w:szCs w:val="32"/>
        </w:rPr>
      </w:pPr>
      <w:r>
        <w:rPr>
          <w:rFonts w:hint="eastAsia" w:ascii="仿宋" w:hAnsi="仿宋" w:eastAsia="仿宋" w:cs="仿宋"/>
          <w:sz w:val="32"/>
          <w:szCs w:val="32"/>
        </w:rPr>
        <w:t>回复：是，幕墙铝合金格栅控制价已综合考虑主材价，不再调整。</w:t>
      </w:r>
    </w:p>
    <w:p w14:paraId="018D9695">
      <w:pPr>
        <w:ind w:firstLine="640" w:firstLineChars="200"/>
        <w:rPr>
          <w:rFonts w:hint="eastAsia" w:ascii="仿宋" w:hAnsi="仿宋" w:eastAsia="仿宋" w:cs="仿宋"/>
          <w:sz w:val="32"/>
          <w:szCs w:val="32"/>
        </w:rPr>
      </w:pPr>
      <w:r>
        <w:rPr>
          <w:rFonts w:hint="eastAsia" w:ascii="仿宋" w:hAnsi="仿宋" w:eastAsia="仿宋" w:cs="仿宋"/>
          <w:sz w:val="32"/>
          <w:szCs w:val="32"/>
        </w:rPr>
        <w:t>7、清单第10项“30mm厚花岗岩石材(白色)”是否有具体石材名称？或者是否能够查看样品照片？</w:t>
      </w:r>
    </w:p>
    <w:p w14:paraId="7CCA2A41">
      <w:pPr>
        <w:rPr>
          <w:rFonts w:hint="eastAsia" w:ascii="仿宋" w:hAnsi="仿宋" w:eastAsia="仿宋" w:cs="仿宋"/>
          <w:sz w:val="32"/>
          <w:szCs w:val="32"/>
        </w:rPr>
      </w:pPr>
      <w:r>
        <w:rPr>
          <w:rFonts w:hint="eastAsia" w:ascii="仿宋" w:hAnsi="仿宋" w:eastAsia="仿宋" w:cs="仿宋"/>
          <w:sz w:val="32"/>
          <w:szCs w:val="32"/>
        </w:rPr>
        <w:t>回复：没有具体的石材名称，采用花岗岩石材即可，无现场样品照片，施工前需与业主和设计单位进行封样，确认具体的样品要求。</w:t>
      </w:r>
    </w:p>
    <w:p w14:paraId="64484820">
      <w:pPr>
        <w:ind w:firstLine="640" w:firstLineChars="200"/>
        <w:rPr>
          <w:rFonts w:hint="eastAsia" w:ascii="仿宋" w:hAnsi="仿宋" w:eastAsia="仿宋" w:cs="仿宋"/>
          <w:sz w:val="32"/>
          <w:szCs w:val="32"/>
        </w:rPr>
      </w:pPr>
      <w:r>
        <w:rPr>
          <w:rFonts w:hint="eastAsia" w:ascii="仿宋" w:hAnsi="仿宋" w:eastAsia="仿宋" w:cs="仿宋"/>
          <w:sz w:val="32"/>
          <w:szCs w:val="32"/>
        </w:rPr>
        <w:t>8、节点W-01A-1208A、W-01A-1209A有30mm厚蜂窝石材（毛面）面层，且清单无，是否清单漏项？</w:t>
      </w:r>
    </w:p>
    <w:p w14:paraId="48568F8A">
      <w:pPr>
        <w:rPr>
          <w:rFonts w:hint="eastAsia" w:ascii="仿宋" w:hAnsi="仿宋" w:eastAsia="仿宋" w:cs="仿宋"/>
          <w:sz w:val="32"/>
          <w:szCs w:val="32"/>
        </w:rPr>
      </w:pPr>
      <w:r>
        <w:rPr>
          <w:rFonts w:hint="eastAsia" w:ascii="仿宋" w:hAnsi="仿宋" w:eastAsia="仿宋" w:cs="仿宋"/>
          <w:sz w:val="32"/>
          <w:szCs w:val="32"/>
        </w:rPr>
        <w:t xml:space="preserve">    回复：按30mm花岗岩石材综合考虑。</w:t>
      </w:r>
    </w:p>
    <w:p w14:paraId="66E79160">
      <w:pPr>
        <w:ind w:firstLine="640" w:firstLineChars="200"/>
        <w:rPr>
          <w:rFonts w:hint="eastAsia" w:ascii="仿宋" w:hAnsi="仿宋" w:eastAsia="仿宋" w:cs="仿宋"/>
          <w:sz w:val="32"/>
          <w:szCs w:val="32"/>
        </w:rPr>
      </w:pPr>
      <w:r>
        <w:rPr>
          <w:rFonts w:hint="eastAsia" w:ascii="仿宋" w:hAnsi="仿宋" w:eastAsia="仿宋" w:cs="仿宋"/>
          <w:sz w:val="32"/>
          <w:szCs w:val="32"/>
        </w:rPr>
        <w:t>9、清单第11项“铝拉伸网”是否有具体的规格？</w:t>
      </w:r>
    </w:p>
    <w:p w14:paraId="6BB1968B">
      <w:pPr>
        <w:ind w:firstLine="640" w:firstLineChars="200"/>
        <w:rPr>
          <w:rFonts w:hint="eastAsia" w:ascii="仿宋" w:hAnsi="仿宋" w:eastAsia="仿宋" w:cs="仿宋"/>
          <w:sz w:val="32"/>
          <w:szCs w:val="32"/>
        </w:rPr>
      </w:pPr>
      <w:r>
        <w:rPr>
          <w:rFonts w:hint="eastAsia" w:ascii="仿宋" w:hAnsi="仿宋" w:eastAsia="仿宋" w:cs="仿宋"/>
          <w:sz w:val="32"/>
          <w:szCs w:val="32"/>
        </w:rPr>
        <w:t>回复：3mm厚铝拉网，孔隙率80%。</w:t>
      </w:r>
    </w:p>
    <w:p w14:paraId="6C9D2AAB">
      <w:pPr>
        <w:ind w:firstLine="640" w:firstLineChars="200"/>
        <w:rPr>
          <w:rFonts w:hint="eastAsia" w:ascii="仿宋" w:hAnsi="仿宋" w:eastAsia="仿宋" w:cs="仿宋"/>
          <w:sz w:val="32"/>
          <w:szCs w:val="32"/>
        </w:rPr>
      </w:pPr>
      <w:r>
        <w:rPr>
          <w:rFonts w:hint="eastAsia" w:ascii="仿宋" w:hAnsi="仿宋" w:eastAsia="仿宋" w:cs="仿宋"/>
          <w:sz w:val="32"/>
          <w:szCs w:val="32"/>
        </w:rPr>
        <w:t>10、清单第12项“玻璃雨篷”参考节点是否为W-01A-2101A、W-01A-2102A、W-01A-2103A？是否包含钢结构龙骨基层？如包含则此玻璃雨篷市场成本价远高于控制价，请核实。</w:t>
      </w:r>
    </w:p>
    <w:p w14:paraId="7444DCB3">
      <w:pPr>
        <w:ind w:firstLine="640" w:firstLineChars="200"/>
        <w:rPr>
          <w:rFonts w:hint="eastAsia" w:ascii="仿宋" w:hAnsi="仿宋" w:eastAsia="仿宋" w:cs="仿宋"/>
          <w:sz w:val="32"/>
          <w:szCs w:val="32"/>
        </w:rPr>
      </w:pPr>
      <w:r>
        <w:rPr>
          <w:rFonts w:hint="eastAsia" w:ascii="仿宋" w:hAnsi="仿宋" w:eastAsia="仿宋" w:cs="仿宋"/>
          <w:sz w:val="32"/>
          <w:szCs w:val="32"/>
        </w:rPr>
        <w:t>回复：是，清单已包含钢结构、油漆、除锈预埋件等，控制价不再调整。</w:t>
      </w:r>
    </w:p>
    <w:p w14:paraId="0A293C3F">
      <w:pPr>
        <w:numPr>
          <w:ilvl w:val="0"/>
          <w:numId w:val="2"/>
        </w:numPr>
        <w:ind w:firstLine="640" w:firstLineChars="200"/>
        <w:rPr>
          <w:rFonts w:hint="eastAsia" w:ascii="仿宋" w:hAnsi="仿宋" w:eastAsia="仿宋" w:cs="仿宋"/>
          <w:sz w:val="32"/>
          <w:szCs w:val="32"/>
        </w:rPr>
      </w:pPr>
      <w:r>
        <w:rPr>
          <w:rFonts w:hint="eastAsia" w:ascii="仿宋" w:hAnsi="仿宋" w:eastAsia="仿宋" w:cs="仿宋"/>
          <w:sz w:val="32"/>
          <w:szCs w:val="32"/>
        </w:rPr>
        <w:t>清单第14、15项“幕墙钢龙骨”2、3条项目特征描述是否有误？如下截图</w:t>
      </w:r>
    </w:p>
    <w:p w14:paraId="3BEDBF15">
      <w:pPr>
        <w:numPr>
          <w:ilvl w:val="0"/>
          <w:numId w:val="0"/>
        </w:numPr>
        <w:rPr>
          <w:rFonts w:hint="eastAsia" w:ascii="仿宋" w:hAnsi="仿宋" w:eastAsia="仿宋" w:cs="仿宋"/>
          <w:sz w:val="32"/>
          <w:szCs w:val="32"/>
        </w:rPr>
      </w:pPr>
      <w:r>
        <w:rPr>
          <w:sz w:val="24"/>
          <w:szCs w:val="32"/>
        </w:rPr>
        <w:drawing>
          <wp:inline distT="0" distB="0" distL="114300" distR="114300">
            <wp:extent cx="4578350" cy="1163320"/>
            <wp:effectExtent l="0" t="0" r="12700" b="17780"/>
            <wp:docPr id="18" name="图片 18" descr="7914ed60-c4cd-42f5-8761-9b6dc442790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7914ed60-c4cd-42f5-8761-9b6dc442790d"/>
                    <pic:cNvPicPr>
                      <a:picLocks noChangeAspect="1"/>
                    </pic:cNvPicPr>
                  </pic:nvPicPr>
                  <pic:blipFill>
                    <a:blip r:embed="rId10"/>
                    <a:stretch>
                      <a:fillRect/>
                    </a:stretch>
                  </pic:blipFill>
                  <pic:spPr>
                    <a:xfrm>
                      <a:off x="0" y="0"/>
                      <a:ext cx="4578350" cy="1163320"/>
                    </a:xfrm>
                    <a:prstGeom prst="rect">
                      <a:avLst/>
                    </a:prstGeom>
                    <a:noFill/>
                    <a:ln>
                      <a:noFill/>
                    </a:ln>
                  </pic:spPr>
                </pic:pic>
              </a:graphicData>
            </a:graphic>
          </wp:inline>
        </w:drawing>
      </w:r>
    </w:p>
    <w:p w14:paraId="2F0152B4">
      <w:pPr>
        <w:ind w:firstLine="640" w:firstLineChars="200"/>
        <w:rPr>
          <w:rFonts w:hint="eastAsia" w:ascii="仿宋" w:hAnsi="仿宋" w:eastAsia="仿宋" w:cs="仿宋"/>
          <w:sz w:val="32"/>
          <w:szCs w:val="32"/>
        </w:rPr>
      </w:pPr>
      <w:r>
        <w:rPr>
          <w:rFonts w:hint="eastAsia" w:ascii="仿宋" w:hAnsi="仿宋" w:eastAsia="仿宋" w:cs="仿宋"/>
          <w:sz w:val="32"/>
          <w:szCs w:val="32"/>
        </w:rPr>
        <w:t>回复：按清单执行，存在外露龙骨需要做饰面处理。</w:t>
      </w:r>
      <w:bookmarkStart w:id="0" w:name="_GoBack"/>
      <w:bookmarkEnd w:id="0"/>
    </w:p>
    <w:p w14:paraId="412D67FA">
      <w:pPr>
        <w:ind w:firstLine="640" w:firstLineChars="200"/>
        <w:rPr>
          <w:rFonts w:hint="eastAsia" w:ascii="仿宋" w:hAnsi="仿宋" w:eastAsia="仿宋" w:cs="仿宋"/>
          <w:sz w:val="32"/>
          <w:szCs w:val="32"/>
        </w:rPr>
      </w:pPr>
      <w:r>
        <w:rPr>
          <w:rFonts w:hint="eastAsia" w:ascii="仿宋" w:hAnsi="仿宋" w:eastAsia="仿宋" w:cs="仿宋"/>
          <w:sz w:val="32"/>
          <w:szCs w:val="32"/>
        </w:rPr>
        <w:t>12、清单第20项“幕墙龙骨”项目特征描述为铝合金型材，但从控制价看为钢材，具体指铝合金型材还是钢材？</w:t>
      </w:r>
    </w:p>
    <w:p w14:paraId="473961CE">
      <w:pPr>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回复：幕墙龙骨局部有型钢内衬加强，投标人需综合考虑。</w:t>
      </w:r>
    </w:p>
    <w:p w14:paraId="1D905B6A">
      <w:pPr>
        <w:numPr>
          <w:ilvl w:val="0"/>
          <w:numId w:val="3"/>
        </w:numPr>
        <w:ind w:firstLine="640" w:firstLineChars="200"/>
        <w:rPr>
          <w:rFonts w:hint="eastAsia" w:ascii="仿宋" w:hAnsi="仿宋" w:eastAsia="仿宋" w:cs="仿宋"/>
          <w:sz w:val="32"/>
          <w:szCs w:val="32"/>
        </w:rPr>
      </w:pPr>
      <w:r>
        <w:rPr>
          <w:rFonts w:hint="eastAsia" w:ascii="仿宋" w:hAnsi="仿宋" w:eastAsia="仿宋" w:cs="仿宋"/>
          <w:sz w:val="32"/>
          <w:szCs w:val="32"/>
        </w:rPr>
        <w:t>清单第13项“幕墙铝合金百叶”、清单第14～20项“幕墙龙骨”、第24项“预埋铁件”、第25项“幕墙内衬板”市场成本价远高于控制价，请核实。</w:t>
      </w:r>
    </w:p>
    <w:p w14:paraId="31157C3C">
      <w:pPr>
        <w:numPr>
          <w:ilvl w:val="0"/>
          <w:numId w:val="0"/>
        </w:numPr>
        <w:ind w:firstLine="640" w:firstLineChars="200"/>
        <w:rPr>
          <w:rFonts w:hint="eastAsia" w:ascii="仿宋" w:hAnsi="仿宋" w:eastAsia="仿宋" w:cs="仿宋"/>
          <w:sz w:val="32"/>
          <w:szCs w:val="32"/>
        </w:rPr>
      </w:pPr>
      <w:r>
        <w:rPr>
          <w:rFonts w:hint="eastAsia" w:ascii="仿宋" w:hAnsi="仿宋" w:eastAsia="仿宋" w:cs="仿宋"/>
          <w:sz w:val="32"/>
          <w:szCs w:val="32"/>
        </w:rPr>
        <w:t>回复：按招标文件执行。</w:t>
      </w:r>
    </w:p>
    <w:p w14:paraId="7772F608">
      <w:pPr>
        <w:numPr>
          <w:ilvl w:val="0"/>
          <w:numId w:val="3"/>
        </w:numPr>
        <w:ind w:left="0" w:leftChars="0" w:firstLine="640" w:firstLineChars="200"/>
        <w:rPr>
          <w:rFonts w:hint="eastAsia" w:ascii="仿宋" w:hAnsi="仿宋" w:eastAsia="仿宋" w:cs="仿宋"/>
          <w:sz w:val="32"/>
          <w:szCs w:val="32"/>
        </w:rPr>
      </w:pPr>
      <w:r>
        <w:rPr>
          <w:rFonts w:hint="eastAsia" w:ascii="仿宋" w:hAnsi="仿宋" w:eastAsia="仿宋" w:cs="仿宋"/>
          <w:sz w:val="32"/>
          <w:szCs w:val="32"/>
        </w:rPr>
        <w:t>清单第22、23项“金属靠墙扶手”具体节点图是哪个？</w:t>
      </w:r>
    </w:p>
    <w:p w14:paraId="6EDCF0D2">
      <w:pPr>
        <w:numPr>
          <w:ilvl w:val="0"/>
          <w:numId w:val="0"/>
        </w:numPr>
        <w:ind w:firstLine="640" w:firstLineChars="200"/>
        <w:rPr>
          <w:rFonts w:hint="eastAsia" w:ascii="仿宋" w:hAnsi="仿宋" w:eastAsia="仿宋" w:cs="仿宋"/>
          <w:sz w:val="32"/>
          <w:szCs w:val="32"/>
        </w:rPr>
      </w:pPr>
      <w:r>
        <w:rPr>
          <w:rFonts w:hint="eastAsia" w:ascii="仿宋" w:hAnsi="仿宋" w:eastAsia="仿宋" w:cs="仿宋"/>
          <w:sz w:val="32"/>
          <w:szCs w:val="32"/>
        </w:rPr>
        <w:t>回复：施工前需深化确认。</w:t>
      </w:r>
    </w:p>
    <w:p w14:paraId="17614C2E">
      <w:pPr>
        <w:numPr>
          <w:ilvl w:val="0"/>
          <w:numId w:val="3"/>
        </w:numPr>
        <w:ind w:left="0" w:leftChars="0" w:firstLine="640" w:firstLineChars="200"/>
        <w:rPr>
          <w:rFonts w:hint="eastAsia" w:ascii="仿宋" w:hAnsi="仿宋" w:eastAsia="仿宋" w:cs="仿宋"/>
          <w:sz w:val="32"/>
          <w:szCs w:val="32"/>
        </w:rPr>
      </w:pPr>
      <w:r>
        <w:rPr>
          <w:rFonts w:hint="eastAsia" w:ascii="仿宋" w:hAnsi="仿宋" w:eastAsia="仿宋" w:cs="仿宋"/>
          <w:sz w:val="32"/>
          <w:szCs w:val="32"/>
        </w:rPr>
        <w:t>清单第29项“金属装饰条”具体材质是什么？是否有具体型材详图？且控制价偏低。</w:t>
      </w:r>
    </w:p>
    <w:p w14:paraId="7307D1CD">
      <w:pPr>
        <w:numPr>
          <w:ilvl w:val="0"/>
          <w:numId w:val="0"/>
        </w:numPr>
        <w:ind w:firstLine="640" w:firstLineChars="200"/>
        <w:rPr>
          <w:rFonts w:hint="eastAsia" w:ascii="仿宋" w:hAnsi="仿宋" w:eastAsia="仿宋" w:cs="仿宋"/>
          <w:sz w:val="32"/>
          <w:szCs w:val="32"/>
        </w:rPr>
      </w:pPr>
      <w:r>
        <w:rPr>
          <w:rFonts w:hint="eastAsia" w:ascii="仿宋" w:hAnsi="仿宋" w:eastAsia="仿宋" w:cs="仿宋"/>
          <w:sz w:val="32"/>
          <w:szCs w:val="32"/>
        </w:rPr>
        <w:t>回复：详见W-01A-09 型材表及节点图，控制价不再调整。</w:t>
      </w:r>
    </w:p>
    <w:p w14:paraId="387E8D91">
      <w:pPr>
        <w:numPr>
          <w:ilvl w:val="0"/>
          <w:numId w:val="3"/>
        </w:numPr>
        <w:ind w:left="0" w:leftChars="0" w:firstLine="640" w:firstLineChars="200"/>
        <w:rPr>
          <w:rFonts w:hint="eastAsia" w:ascii="仿宋" w:hAnsi="仿宋" w:eastAsia="仿宋" w:cs="仿宋"/>
          <w:sz w:val="32"/>
          <w:szCs w:val="32"/>
        </w:rPr>
      </w:pPr>
      <w:r>
        <w:rPr>
          <w:rFonts w:hint="eastAsia" w:ascii="仿宋" w:hAnsi="仿宋" w:eastAsia="仿宋" w:cs="仿宋"/>
          <w:sz w:val="32"/>
          <w:szCs w:val="32"/>
        </w:rPr>
        <w:t>清单报价最底下说明第6条中工程量计算规则描述有误，应为“玻璃幕墙、金属幕墙、石材幕墙按图纸饰面面积计算工程量”，如下截图。</w:t>
      </w:r>
    </w:p>
    <w:p w14:paraId="3B755F63">
      <w:pPr>
        <w:numPr>
          <w:ilvl w:val="0"/>
          <w:numId w:val="0"/>
        </w:numPr>
        <w:ind w:leftChars="200"/>
        <w:rPr>
          <w:rFonts w:hint="eastAsia" w:ascii="仿宋" w:hAnsi="仿宋" w:eastAsia="仿宋" w:cs="仿宋"/>
          <w:sz w:val="32"/>
          <w:szCs w:val="32"/>
        </w:rPr>
      </w:pPr>
      <w:r>
        <w:rPr>
          <w:sz w:val="24"/>
          <w:szCs w:val="32"/>
        </w:rPr>
        <w:drawing>
          <wp:inline distT="0" distB="0" distL="114300" distR="114300">
            <wp:extent cx="4436110" cy="1572895"/>
            <wp:effectExtent l="0" t="0" r="2540" b="8255"/>
            <wp:docPr id="19" name="图片 19" descr="1c42ec13-4eae-496e-97ce-f619b55b333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1c42ec13-4eae-496e-97ce-f619b55b333a"/>
                    <pic:cNvPicPr>
                      <a:picLocks noChangeAspect="1"/>
                    </pic:cNvPicPr>
                  </pic:nvPicPr>
                  <pic:blipFill>
                    <a:blip r:embed="rId11"/>
                    <a:stretch>
                      <a:fillRect/>
                    </a:stretch>
                  </pic:blipFill>
                  <pic:spPr>
                    <a:xfrm>
                      <a:off x="0" y="0"/>
                      <a:ext cx="4436110" cy="1572895"/>
                    </a:xfrm>
                    <a:prstGeom prst="rect">
                      <a:avLst/>
                    </a:prstGeom>
                    <a:noFill/>
                    <a:ln>
                      <a:noFill/>
                    </a:ln>
                  </pic:spPr>
                </pic:pic>
              </a:graphicData>
            </a:graphic>
          </wp:inline>
        </w:drawing>
      </w:r>
    </w:p>
    <w:p w14:paraId="22EAA00B">
      <w:pPr>
        <w:ind w:firstLine="640" w:firstLineChars="200"/>
        <w:rPr>
          <w:rFonts w:hint="eastAsia" w:ascii="仿宋" w:hAnsi="仿宋" w:eastAsia="仿宋" w:cs="仿宋"/>
          <w:sz w:val="32"/>
          <w:szCs w:val="32"/>
        </w:rPr>
      </w:pPr>
      <w:r>
        <w:rPr>
          <w:rFonts w:hint="eastAsia" w:ascii="仿宋" w:hAnsi="仿宋" w:eastAsia="仿宋" w:cs="仿宋"/>
          <w:sz w:val="32"/>
          <w:szCs w:val="32"/>
        </w:rPr>
        <w:t>回复：工程量面积按照垂直投影面积（见光面积），不是展开面积，投标人需按垂直投影面积综合考虑报价。</w:t>
      </w:r>
    </w:p>
    <w:p w14:paraId="6C423CB6">
      <w:pPr>
        <w:ind w:firstLine="640" w:firstLineChars="200"/>
        <w:rPr>
          <w:rFonts w:hint="eastAsia" w:ascii="仿宋" w:hAnsi="仿宋" w:eastAsia="仿宋" w:cs="仿宋"/>
          <w:sz w:val="32"/>
          <w:szCs w:val="32"/>
        </w:rPr>
      </w:pPr>
      <w:r>
        <w:rPr>
          <w:rFonts w:hint="eastAsia" w:ascii="仿宋" w:hAnsi="仿宋" w:eastAsia="仿宋" w:cs="仿宋"/>
          <w:sz w:val="32"/>
          <w:szCs w:val="32"/>
        </w:rPr>
        <w:t>17、请问现场外墙脚手架是否可以利用？能用多久？</w:t>
      </w:r>
    </w:p>
    <w:p w14:paraId="6A4D839D">
      <w:pPr>
        <w:ind w:firstLine="640" w:firstLineChars="200"/>
        <w:rPr>
          <w:rFonts w:hint="eastAsia" w:ascii="仿宋" w:hAnsi="仿宋" w:eastAsia="仿宋" w:cs="仿宋"/>
          <w:sz w:val="32"/>
          <w:szCs w:val="32"/>
        </w:rPr>
      </w:pPr>
      <w:r>
        <w:rPr>
          <w:rFonts w:hint="eastAsia" w:ascii="仿宋" w:hAnsi="仿宋" w:eastAsia="仿宋" w:cs="仿宋"/>
          <w:sz w:val="32"/>
          <w:szCs w:val="32"/>
        </w:rPr>
        <w:t>回复：现场外墙脚手架不属于我司承建，投标人需自行考虑脚手架措施费用以及使用时间。</w:t>
      </w:r>
    </w:p>
    <w:p w14:paraId="3FB556B2">
      <w:pPr>
        <w:ind w:firstLine="640" w:firstLineChars="200"/>
        <w:rPr>
          <w:rFonts w:hint="eastAsia" w:ascii="仿宋" w:hAnsi="仿宋" w:eastAsia="仿宋" w:cs="仿宋"/>
          <w:sz w:val="32"/>
          <w:szCs w:val="32"/>
        </w:rPr>
      </w:pPr>
      <w:r>
        <w:rPr>
          <w:rFonts w:hint="eastAsia" w:ascii="仿宋" w:hAnsi="仿宋" w:eastAsia="仿宋" w:cs="仿宋"/>
          <w:sz w:val="32"/>
          <w:szCs w:val="32"/>
        </w:rPr>
        <w:t>18、请问本项目现场是否可以提供工人宿舍？</w:t>
      </w:r>
    </w:p>
    <w:p w14:paraId="339AC34E">
      <w:pPr>
        <w:ind w:firstLine="640" w:firstLineChars="200"/>
        <w:rPr>
          <w:rFonts w:hint="eastAsia" w:ascii="仿宋" w:hAnsi="仿宋" w:eastAsia="仿宋" w:cs="仿宋"/>
          <w:sz w:val="32"/>
          <w:szCs w:val="32"/>
        </w:rPr>
      </w:pPr>
      <w:r>
        <w:rPr>
          <w:rFonts w:hint="eastAsia" w:ascii="仿宋" w:hAnsi="仿宋" w:eastAsia="仿宋" w:cs="仿宋"/>
          <w:sz w:val="32"/>
          <w:szCs w:val="32"/>
        </w:rPr>
        <w:t>回复：本项目现场不提供工人宿舍，投标人需自行考虑。</w:t>
      </w:r>
    </w:p>
    <w:p w14:paraId="17DE2CF6">
      <w:pPr>
        <w:rPr>
          <w:rFonts w:hint="eastAsia" w:ascii="仿宋" w:hAnsi="仿宋" w:eastAsia="仿宋" w:cs="仿宋"/>
          <w:sz w:val="32"/>
          <w:szCs w:val="32"/>
        </w:rPr>
      </w:pPr>
    </w:p>
    <w:p w14:paraId="787F7C86">
      <w:pPr>
        <w:rPr>
          <w:rFonts w:hint="eastAsia" w:ascii="仿宋" w:hAnsi="仿宋" w:eastAsia="仿宋" w:cs="仿宋"/>
          <w:sz w:val="32"/>
          <w:szCs w:val="32"/>
        </w:rPr>
      </w:pPr>
    </w:p>
    <w:p w14:paraId="72C49EF9">
      <w:pPr>
        <w:rPr>
          <w:rFonts w:hint="eastAsia" w:ascii="仿宋" w:hAnsi="仿宋" w:eastAsia="仿宋" w:cs="仿宋"/>
          <w:b/>
          <w:bCs/>
          <w:sz w:val="32"/>
          <w:szCs w:val="32"/>
        </w:rPr>
      </w:pPr>
      <w:r>
        <w:rPr>
          <w:rFonts w:hint="eastAsia" w:ascii="仿宋" w:hAnsi="仿宋" w:eastAsia="仿宋" w:cs="仿宋"/>
          <w:b/>
          <w:bCs/>
          <w:sz w:val="32"/>
          <w:szCs w:val="32"/>
        </w:rPr>
        <w:t>注：此次补遗视同采购文件的组成部分，请各投标人及时知悉，本次补遗需放入投标文件中。</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499C3C9"/>
    <w:multiLevelType w:val="singleLevel"/>
    <w:tmpl w:val="3499C3C9"/>
    <w:lvl w:ilvl="0" w:tentative="0">
      <w:start w:val="13"/>
      <w:numFmt w:val="decimal"/>
      <w:suff w:val="nothing"/>
      <w:lvlText w:val="%1、"/>
      <w:lvlJc w:val="left"/>
    </w:lvl>
  </w:abstractNum>
  <w:abstractNum w:abstractNumId="1">
    <w:nsid w:val="3F23215A"/>
    <w:multiLevelType w:val="singleLevel"/>
    <w:tmpl w:val="3F23215A"/>
    <w:lvl w:ilvl="0" w:tentative="0">
      <w:start w:val="3"/>
      <w:numFmt w:val="decimal"/>
      <w:suff w:val="nothing"/>
      <w:lvlText w:val="%1、"/>
      <w:lvlJc w:val="left"/>
    </w:lvl>
  </w:abstractNum>
  <w:abstractNum w:abstractNumId="2">
    <w:nsid w:val="41E400E8"/>
    <w:multiLevelType w:val="singleLevel"/>
    <w:tmpl w:val="41E400E8"/>
    <w:lvl w:ilvl="0" w:tentative="0">
      <w:start w:val="11"/>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D941BD4"/>
    <w:rsid w:val="608533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1542</Words>
  <Characters>1679</Characters>
  <Lines>0</Lines>
  <Paragraphs>0</Paragraphs>
  <TotalTime>0</TotalTime>
  <ScaleCrop>false</ScaleCrop>
  <LinksUpToDate>false</LinksUpToDate>
  <CharactersWithSpaces>1688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2026-03-16T02:11:00Z</dcterms:created>
  <dc:creator>Administrator</dc:creator>
  <cp:lastModifiedBy>Administrator</cp:lastModifiedBy>
  <dcterms:modified xsi:type="dcterms:W3CDTF">2026-03-16T02:20:00Z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eyJoZGlkIjoiYjMzNjg0YjE0Mjc3YTBkNTYyYTJkYjcyOTIxYzNmYjgiLCJ1c2VySWQiOiI4NjUzNDU1MzYifQ==</vt:lpwstr>
  </property>
  <property fmtid="{D5CDD505-2E9C-101B-9397-08002B2CF9AE}" pid="4" name="ICV">
    <vt:lpwstr>E749C78AA5784C30BC0063A330971975_12</vt:lpwstr>
  </property>
</Properties>
</file>