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63E7FD">
      <w:pPr>
        <w:ind w:right="480"/>
        <w:rPr>
          <w:rFonts w:hint="eastAsia" w:ascii="宋体" w:hAnsi="宋体" w:eastAsia="宋体" w:cs="宋体"/>
          <w:b/>
          <w:color w:val="000000" w:themeColor="text1"/>
          <w:szCs w:val="24"/>
          <w:highlight w:val="none"/>
          <w:u w:val="single"/>
          <w14:textFill>
            <w14:solidFill>
              <w14:schemeClr w14:val="tx1"/>
            </w14:solidFill>
          </w14:textFill>
        </w:rPr>
      </w:pPr>
      <w:r>
        <w:rPr>
          <w:rFonts w:hint="eastAsia" w:ascii="宋体" w:hAnsi="宋体" w:eastAsia="宋体" w:cs="宋体"/>
          <w:b/>
          <w:color w:val="000000" w:themeColor="text1"/>
          <w:sz w:val="30"/>
          <w:szCs w:val="30"/>
          <w:highlight w:val="none"/>
          <w14:textFill>
            <w14:solidFill>
              <w14:schemeClr w14:val="tx1"/>
            </w14:solidFill>
          </w14:textFill>
        </w:rPr>
        <w:t>合同编号：</w:t>
      </w:r>
      <w:permStart w:id="0" w:edGrp="everyone"/>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r>
        <w:rPr>
          <w:rFonts w:hint="eastAsia" w:cs="宋体"/>
          <w:b/>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p>
    <w:permEnd w:id="0"/>
    <w:p w14:paraId="444FDE8B">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0F109C8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2A50155C">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6151101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18C0ADD0">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3E5F0059">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ermStart w:id="1" w:edGrp="everyone"/>
      <w:r>
        <w:rPr>
          <w:rFonts w:hint="eastAsia" w:ascii="宋体" w:hAnsi="宋体" w:eastAsia="宋体" w:cs="宋体"/>
          <w:b/>
          <w:color w:val="000000" w:themeColor="text1"/>
          <w:sz w:val="36"/>
          <w:szCs w:val="36"/>
          <w:highlight w:val="none"/>
          <w:u w:val="single"/>
          <w14:textFill>
            <w14:solidFill>
              <w14:schemeClr w14:val="tx1"/>
            </w14:solidFill>
          </w14:textFill>
        </w:rPr>
        <w:t xml:space="preserve"> </w:t>
      </w:r>
      <w:r>
        <w:rPr>
          <w:rFonts w:hint="eastAsia" w:ascii="仿宋" w:hAnsi="仿宋" w:eastAsia="仿宋" w:cs="仿宋"/>
          <w:b/>
          <w:color w:val="auto"/>
          <w:sz w:val="28"/>
          <w:szCs w:val="28"/>
          <w:highlight w:val="none"/>
          <w:u w:val="single"/>
          <w:lang w:val="en-US" w:eastAsia="zh-CN"/>
        </w:rPr>
        <w:t>华阳河蓄滞洪建设工程（安庆市）主体工程施工II标项目-轴套</w:t>
      </w:r>
      <w:r>
        <w:rPr>
          <w:rFonts w:hint="eastAsia" w:ascii="宋体" w:hAnsi="宋体" w:eastAsia="宋体" w:cs="宋体"/>
          <w:b/>
          <w:color w:val="000000" w:themeColor="text1"/>
          <w:sz w:val="36"/>
          <w:szCs w:val="36"/>
          <w:highlight w:val="none"/>
          <w:u w:val="single"/>
          <w14:textFill>
            <w14:solidFill>
              <w14:schemeClr w14:val="tx1"/>
            </w14:solidFill>
          </w14:textFill>
        </w:rPr>
        <w:t xml:space="preserve">  </w:t>
      </w:r>
      <w:permEnd w:id="1"/>
      <w:r>
        <w:rPr>
          <w:rFonts w:hint="eastAsia" w:cs="宋体"/>
          <w:b/>
          <w:color w:val="000000" w:themeColor="text1"/>
          <w:sz w:val="36"/>
          <w:szCs w:val="36"/>
          <w:highlight w:val="none"/>
          <w:lang w:val="en-US" w:eastAsia="zh-CN"/>
          <w14:textFill>
            <w14:solidFill>
              <w14:schemeClr w14:val="tx1"/>
            </w14:solidFill>
          </w14:textFill>
        </w:rPr>
        <w:t>项目</w:t>
      </w:r>
      <w:r>
        <w:rPr>
          <w:rFonts w:hint="eastAsia" w:cs="宋体"/>
          <w:b/>
          <w:color w:val="000000" w:themeColor="text1"/>
          <w:sz w:val="36"/>
          <w:szCs w:val="36"/>
          <w:highlight w:val="none"/>
          <w:lang w:eastAsia="zh-CN"/>
          <w14:textFill>
            <w14:solidFill>
              <w14:schemeClr w14:val="tx1"/>
            </w14:solidFill>
          </w14:textFill>
        </w:rPr>
        <w:t>（</w:t>
      </w:r>
      <w:r>
        <w:rPr>
          <w:rFonts w:hint="eastAsia" w:ascii="宋体" w:hAnsi="宋体" w:eastAsia="宋体" w:cs="宋体"/>
          <w:b/>
          <w:color w:val="000000" w:themeColor="text1"/>
          <w:sz w:val="36"/>
          <w:szCs w:val="36"/>
          <w:highlight w:val="none"/>
          <w14:textFill>
            <w14:solidFill>
              <w14:schemeClr w14:val="tx1"/>
            </w14:solidFill>
          </w14:textFill>
        </w:rPr>
        <w:t>工程</w:t>
      </w:r>
      <w:r>
        <w:rPr>
          <w:rFonts w:hint="eastAsia" w:cs="宋体"/>
          <w:b/>
          <w:color w:val="000000" w:themeColor="text1"/>
          <w:sz w:val="36"/>
          <w:szCs w:val="36"/>
          <w:highlight w:val="none"/>
          <w:lang w:eastAsia="zh-CN"/>
          <w14:textFill>
            <w14:solidFill>
              <w14:schemeClr w14:val="tx1"/>
            </w14:solidFill>
          </w14:textFill>
        </w:rPr>
        <w:t>）</w:t>
      </w:r>
    </w:p>
    <w:p w14:paraId="52DBEC72">
      <w:pPr>
        <w:jc w:val="center"/>
        <w:rPr>
          <w:rFonts w:hint="eastAsia" w:ascii="宋体" w:hAnsi="宋体" w:eastAsia="宋体" w:cs="宋体"/>
          <w:b/>
          <w:color w:val="000000" w:themeColor="text1"/>
          <w:sz w:val="48"/>
          <w:szCs w:val="48"/>
          <w:highlight w:val="none"/>
          <w14:textFill>
            <w14:solidFill>
              <w14:schemeClr w14:val="tx1"/>
            </w14:solidFill>
          </w14:textFill>
        </w:rPr>
      </w:pPr>
      <w:r>
        <w:rPr>
          <w:rFonts w:hint="eastAsia" w:cs="宋体"/>
          <w:b/>
          <w:color w:val="000000" w:themeColor="text1"/>
          <w:sz w:val="48"/>
          <w:szCs w:val="48"/>
          <w:highlight w:val="none"/>
          <w:lang w:eastAsia="zh-CN"/>
          <w14:textFill>
            <w14:solidFill>
              <w14:schemeClr w14:val="tx1"/>
            </w14:solidFill>
          </w14:textFill>
        </w:rPr>
        <w:t>材料采购</w:t>
      </w:r>
      <w:r>
        <w:rPr>
          <w:rFonts w:hint="eastAsia" w:ascii="宋体" w:hAnsi="宋体" w:eastAsia="宋体" w:cs="宋体"/>
          <w:b/>
          <w:color w:val="000000" w:themeColor="text1"/>
          <w:sz w:val="48"/>
          <w:szCs w:val="48"/>
          <w:highlight w:val="none"/>
          <w14:textFill>
            <w14:solidFill>
              <w14:schemeClr w14:val="tx1"/>
            </w14:solidFill>
          </w14:textFill>
        </w:rPr>
        <w:t>合同</w:t>
      </w:r>
    </w:p>
    <w:p w14:paraId="6C6D45B8">
      <w:pPr>
        <w:jc w:val="center"/>
        <w:rPr>
          <w:rFonts w:hint="eastAsia" w:ascii="宋体" w:hAnsi="宋体" w:eastAsia="宋体" w:cs="宋体"/>
          <w:b/>
          <w:color w:val="000000" w:themeColor="text1"/>
          <w:sz w:val="30"/>
          <w:szCs w:val="30"/>
          <w:highlight w:val="none"/>
          <w14:textFill>
            <w14:solidFill>
              <w14:schemeClr w14:val="tx1"/>
            </w14:solidFill>
          </w14:textFill>
        </w:rPr>
      </w:pPr>
    </w:p>
    <w:p w14:paraId="5F01B51D">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18076D45">
      <w:pPr>
        <w:rPr>
          <w:rFonts w:hint="eastAsia" w:ascii="宋体" w:hAnsi="宋体" w:eastAsia="宋体" w:cs="宋体"/>
          <w:b/>
          <w:color w:val="000000" w:themeColor="text1"/>
          <w:sz w:val="30"/>
          <w:szCs w:val="30"/>
          <w:highlight w:val="none"/>
          <w14:textFill>
            <w14:solidFill>
              <w14:schemeClr w14:val="tx1"/>
            </w14:solidFill>
          </w14:textFill>
        </w:rPr>
      </w:pPr>
    </w:p>
    <w:p w14:paraId="6D171A4B">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0DF49EE6">
      <w:pPr>
        <w:rPr>
          <w:rFonts w:hint="eastAsia" w:ascii="宋体" w:hAnsi="宋体" w:eastAsia="宋体" w:cs="宋体"/>
          <w:b/>
          <w:color w:val="000000" w:themeColor="text1"/>
          <w:sz w:val="30"/>
          <w:szCs w:val="30"/>
          <w:highlight w:val="none"/>
          <w14:textFill>
            <w14:solidFill>
              <w14:schemeClr w14:val="tx1"/>
            </w14:solidFill>
          </w14:textFill>
        </w:rPr>
      </w:pPr>
    </w:p>
    <w:p w14:paraId="0424BCC9">
      <w:pPr>
        <w:jc w:val="left"/>
        <w:rPr>
          <w:rFonts w:hint="eastAsia" w:ascii="宋体" w:hAnsi="宋体" w:eastAsia="宋体" w:cs="宋体"/>
          <w:b/>
          <w:color w:val="000000" w:themeColor="text1"/>
          <w:sz w:val="30"/>
          <w:szCs w:val="30"/>
          <w:highlight w:val="none"/>
          <w14:textFill>
            <w14:solidFill>
              <w14:schemeClr w14:val="tx1"/>
            </w14:solidFill>
          </w14:textFill>
        </w:rPr>
      </w:pPr>
    </w:p>
    <w:p w14:paraId="25D7EC31">
      <w:pPr>
        <w:ind w:firstLine="1205" w:firstLineChars="400"/>
        <w:jc w:val="left"/>
        <w:rPr>
          <w:rFonts w:hint="default" w:ascii="宋体" w:hAnsi="宋体" w:eastAsia="宋体" w:cs="宋体"/>
          <w:color w:val="000000" w:themeColor="text1"/>
          <w:sz w:val="30"/>
          <w:szCs w:val="30"/>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甲方：</w:t>
      </w:r>
      <w:permStart w:id="2" w:edGrp="everyone"/>
      <w:r>
        <w:rPr>
          <w:rFonts w:hint="eastAsia" w:cs="宋体"/>
          <w:b/>
          <w:bCs/>
          <w:color w:val="000000" w:themeColor="text1"/>
          <w:sz w:val="30"/>
          <w:szCs w:val="30"/>
          <w:highlight w:val="none"/>
          <w:u w:val="single"/>
          <w:lang w:val="en-US" w:eastAsia="zh-CN"/>
          <w14:textFill>
            <w14:solidFill>
              <w14:schemeClr w14:val="tx1"/>
            </w14:solidFill>
          </w14:textFill>
        </w:rPr>
        <w:t xml:space="preserve"> </w:t>
      </w:r>
      <w:r>
        <w:rPr>
          <w:rFonts w:hint="eastAsia" w:ascii="仿宋" w:hAnsi="仿宋" w:eastAsia="仿宋" w:cs="仿宋"/>
          <w:b/>
          <w:color w:val="auto"/>
          <w:sz w:val="36"/>
          <w:szCs w:val="36"/>
          <w:highlight w:val="none"/>
          <w:u w:val="single"/>
          <w:lang w:val="en-US" w:eastAsia="zh-CN"/>
        </w:rPr>
        <w:t>安徽建工水利开发投资集团有限公司</w:t>
      </w:r>
      <w:r>
        <w:rPr>
          <w:rFonts w:hint="eastAsia" w:cs="宋体"/>
          <w:b/>
          <w:bCs/>
          <w:color w:val="000000" w:themeColor="text1"/>
          <w:sz w:val="30"/>
          <w:szCs w:val="30"/>
          <w:highlight w:val="none"/>
          <w:u w:val="single"/>
          <w:lang w:val="en-US" w:eastAsia="zh-CN"/>
          <w14:textFill>
            <w14:solidFill>
              <w14:schemeClr w14:val="tx1"/>
            </w14:solidFill>
          </w14:textFill>
        </w:rPr>
        <w:t xml:space="preserve">  </w:t>
      </w:r>
      <w:permEnd w:id="2"/>
    </w:p>
    <w:p w14:paraId="10AFECE7">
      <w:pPr>
        <w:ind w:firstLine="1205" w:firstLineChars="400"/>
        <w:jc w:val="left"/>
        <w:rPr>
          <w:rFonts w:hint="eastAsia" w:ascii="宋体" w:hAnsi="宋体" w:eastAsia="宋体" w:cs="宋体"/>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乙方：</w:t>
      </w:r>
      <w:permStart w:id="3"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p>
    <w:permEnd w:id="3"/>
    <w:p w14:paraId="1F01DD5E">
      <w:pPr>
        <w:ind w:firstLine="1205" w:firstLineChars="400"/>
        <w:rPr>
          <w:rFonts w:hint="eastAsia" w:ascii="宋体" w:hAnsi="宋体" w:eastAsia="宋体" w:cs="宋体"/>
          <w:b/>
          <w:bCs/>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合同签订地：</w:t>
      </w:r>
      <w:permStart w:id="4" w:edGrp="everyone"/>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安徽省蚌埠市燕南路17号</w:t>
      </w:r>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b/>
          <w:bCs/>
          <w:color w:val="000000" w:themeColor="text1"/>
          <w:sz w:val="30"/>
          <w:szCs w:val="30"/>
          <w:highlight w:val="none"/>
          <w14:textFill>
            <w14:solidFill>
              <w14:schemeClr w14:val="tx1"/>
            </w14:solidFill>
          </w14:textFill>
        </w:rPr>
        <w:t xml:space="preserve"> </w:t>
      </w:r>
      <w:permEnd w:id="4"/>
    </w:p>
    <w:p w14:paraId="2E666B61">
      <w:pPr>
        <w:ind w:firstLine="1205" w:firstLineChars="400"/>
        <w:rPr>
          <w:rFonts w:hint="eastAsia" w:ascii="宋体" w:hAnsi="宋体" w:eastAsia="宋体" w:cs="宋体"/>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签订日期：</w:t>
      </w:r>
      <w:permStart w:id="5"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2026</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年</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1 </w:t>
      </w:r>
      <w:r>
        <w:rPr>
          <w:rFonts w:hint="eastAsia" w:ascii="宋体" w:hAnsi="宋体" w:eastAsia="宋体" w:cs="宋体"/>
          <w:color w:val="000000" w:themeColor="text1"/>
          <w:sz w:val="30"/>
          <w:szCs w:val="30"/>
          <w:highlight w:val="none"/>
          <w14:textFill>
            <w14:solidFill>
              <w14:schemeClr w14:val="tx1"/>
            </w14:solidFill>
          </w14:textFill>
        </w:rPr>
        <w:t>月</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日</w:t>
      </w:r>
    </w:p>
    <w:permEnd w:id="5"/>
    <w:p w14:paraId="4DE431BD">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pPr>
    </w:p>
    <w:p w14:paraId="6870C42F">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sectPr>
          <w:headerReference r:id="rId3" w:type="default"/>
          <w:footerReference r:id="rId4" w:type="default"/>
          <w:pgSz w:w="11906" w:h="16838"/>
          <w:pgMar w:top="1440" w:right="1468" w:bottom="1440" w:left="1621" w:header="851" w:footer="992" w:gutter="0"/>
          <w:pgNumType w:fmt="decimal"/>
          <w:cols w:space="720" w:num="1"/>
          <w:docGrid w:type="lines" w:linePitch="312" w:charSpace="0"/>
        </w:sectPr>
      </w:pPr>
    </w:p>
    <w:p w14:paraId="62B67A43">
      <w:pPr>
        <w:spacing w:line="581" w:lineRule="atLeast"/>
        <w:jc w:val="center"/>
        <w:rPr>
          <w:rFonts w:hint="eastAsia" w:ascii="宋体" w:hAnsi="宋体" w:eastAsia="宋体" w:cs="宋体"/>
          <w:b/>
          <w:color w:val="000000" w:themeColor="text1"/>
          <w:sz w:val="32"/>
          <w:szCs w:val="32"/>
          <w:highlight w:val="none"/>
          <w14:textFill>
            <w14:solidFill>
              <w14:schemeClr w14:val="tx1"/>
            </w14:solidFill>
          </w14:textFill>
        </w:rPr>
      </w:pPr>
      <w:r>
        <w:rPr>
          <w:rFonts w:hint="eastAsia" w:cs="宋体"/>
          <w:b/>
          <w:color w:val="000000" w:themeColor="text1"/>
          <w:sz w:val="32"/>
          <w:szCs w:val="32"/>
          <w:highlight w:val="none"/>
          <w:lang w:eastAsia="zh-CN"/>
          <w14:textFill>
            <w14:solidFill>
              <w14:schemeClr w14:val="tx1"/>
            </w14:solidFill>
          </w14:textFill>
        </w:rPr>
        <w:t>材料采购</w:t>
      </w:r>
      <w:r>
        <w:rPr>
          <w:rFonts w:hint="eastAsia" w:ascii="宋体" w:hAnsi="宋体" w:eastAsia="宋体" w:cs="宋体"/>
          <w:b/>
          <w:color w:val="000000" w:themeColor="text1"/>
          <w:sz w:val="32"/>
          <w:szCs w:val="32"/>
          <w:highlight w:val="none"/>
          <w14:textFill>
            <w14:solidFill>
              <w14:schemeClr w14:val="tx1"/>
            </w14:solidFill>
          </w14:textFill>
        </w:rPr>
        <w:t xml:space="preserve">合同  </w:t>
      </w:r>
    </w:p>
    <w:p w14:paraId="64D8388A">
      <w:pPr>
        <w:pStyle w:val="9"/>
        <w:adjustRightInd w:val="0"/>
        <w:snapToGrid w:val="0"/>
        <w:spacing w:line="480" w:lineRule="exact"/>
        <w:jc w:val="both"/>
        <w:rPr>
          <w:rFonts w:hint="eastAsia" w:ascii="宋体" w:hAnsi="宋体" w:eastAsia="宋体" w:cs="宋体"/>
          <w:b/>
          <w:color w:val="000000" w:themeColor="text1"/>
          <w:sz w:val="24"/>
          <w:szCs w:val="24"/>
          <w:highlight w:val="none"/>
          <w14:textFill>
            <w14:solidFill>
              <w14:schemeClr w14:val="tx1"/>
            </w14:solidFill>
          </w14:textFill>
        </w:rPr>
      </w:pPr>
    </w:p>
    <w:p w14:paraId="0C9B854A">
      <w:pPr>
        <w:pStyle w:val="9"/>
        <w:adjustRightInd w:val="0"/>
        <w:snapToGrid w:val="0"/>
        <w:spacing w:line="480" w:lineRule="exact"/>
        <w:jc w:val="both"/>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甲方（买方）</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Start w:id="6" w:edGrp="everyone"/>
      <w:r>
        <w:rPr>
          <w:rFonts w:hint="eastAsia" w:ascii="宋体" w:hAnsi="宋体" w:cs="宋体"/>
          <w:color w:val="000000" w:themeColor="text1"/>
          <w:sz w:val="24"/>
          <w:szCs w:val="24"/>
          <w:highlight w:val="none"/>
          <w:u w:val="non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u w:val="single"/>
          <w:lang w:val="en-US" w:eastAsia="zh-CN"/>
          <w14:textFill>
            <w14:solidFill>
              <w14:schemeClr w14:val="tx1"/>
            </w14:solidFill>
          </w14:textFill>
        </w:rPr>
        <w:t>安徽建工水利开发投资集团有限公司</w:t>
      </w:r>
      <w:r>
        <w:rPr>
          <w:rFonts w:hint="eastAsia" w:ascii="宋体" w:hAnsi="宋体" w:eastAsia="宋体" w:cs="宋体"/>
          <w:b/>
          <w:color w:val="000000" w:themeColor="text1"/>
          <w:sz w:val="24"/>
          <w:szCs w:val="24"/>
          <w:highlight w:val="none"/>
          <w:u w:val="none"/>
          <w:lang w:val="en-US" w:eastAsia="zh-CN"/>
          <w14:textFill>
            <w14:solidFill>
              <w14:schemeClr w14:val="tx1"/>
            </w14:solidFill>
          </w14:textFill>
        </w:rPr>
        <w:t xml:space="preserve"> </w:t>
      </w:r>
    </w:p>
    <w:permEnd w:id="6"/>
    <w:p w14:paraId="69FA0CDF">
      <w:pPr>
        <w:pStyle w:val="9"/>
        <w:adjustRightInd w:val="0"/>
        <w:snapToGrid w:val="0"/>
        <w:spacing w:line="480" w:lineRule="exact"/>
        <w:jc w:val="both"/>
        <w:rPr>
          <w:rFonts w:hint="eastAsia" w:ascii="宋体" w:hAnsi="宋体" w:eastAsia="宋体" w:cs="宋体"/>
          <w:b/>
          <w:color w:val="000000" w:themeColor="text1"/>
          <w:sz w:val="24"/>
          <w:szCs w:val="24"/>
          <w:highlight w:val="none"/>
          <w:u w:val="singl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乙方（卖方）：</w:t>
      </w:r>
      <w:permStart w:id="7" w:edGrp="everyone"/>
      <w:r>
        <w:rPr>
          <w:rFonts w:hint="eastAsia" w:ascii="宋体" w:hAnsi="宋体" w:eastAsia="宋体" w:cs="宋体"/>
          <w:b/>
          <w:color w:val="000000" w:themeColor="text1"/>
          <w:sz w:val="24"/>
          <w:szCs w:val="24"/>
          <w:highlight w:val="none"/>
          <w:u w:val="single"/>
          <w14:textFill>
            <w14:solidFill>
              <w14:schemeClr w14:val="tx1"/>
            </w14:solidFill>
          </w14:textFill>
        </w:rPr>
        <w:t xml:space="preserve">               </w:t>
      </w:r>
      <w:r>
        <w:rPr>
          <w:rFonts w:hint="eastAsia" w:ascii="宋体" w:hAnsi="宋体" w:cs="宋体"/>
          <w:b/>
          <w:color w:val="000000" w:themeColor="text1"/>
          <w:sz w:val="24"/>
          <w:szCs w:val="24"/>
          <w:highlight w:val="none"/>
          <w:u w:val="single"/>
          <w:lang w:val="en-US" w:eastAsia="zh-CN"/>
          <w14:textFill>
            <w14:solidFill>
              <w14:schemeClr w14:val="tx1"/>
            </w14:solidFill>
          </w14:textFill>
        </w:rPr>
        <w:t xml:space="preserve">                    </w:t>
      </w:r>
    </w:p>
    <w:permEnd w:id="7"/>
    <w:p w14:paraId="2C782496">
      <w:pPr>
        <w:adjustRightInd w:val="0"/>
        <w:snapToGrid w:val="0"/>
        <w:spacing w:line="480" w:lineRule="exact"/>
        <w:ind w:firstLine="470" w:firstLineChars="196"/>
        <w:rPr>
          <w:rFonts w:hint="eastAsia" w:ascii="宋体" w:hAnsi="宋体" w:eastAsia="宋体" w:cs="宋体"/>
          <w:color w:val="000000" w:themeColor="text1"/>
          <w:szCs w:val="24"/>
          <w:highlight w:val="none"/>
          <w14:textFill>
            <w14:solidFill>
              <w14:schemeClr w14:val="tx1"/>
            </w14:solidFill>
          </w14:textFill>
        </w:rPr>
      </w:pPr>
    </w:p>
    <w:p w14:paraId="0A8D8B35">
      <w:pPr>
        <w:keepNext w:val="0"/>
        <w:keepLines w:val="0"/>
        <w:pageBreakBefore w:val="0"/>
        <w:widowControl w:val="0"/>
        <w:kinsoku/>
        <w:wordWrap/>
        <w:overflowPunct/>
        <w:topLinePunct w:val="0"/>
        <w:autoSpaceDE/>
        <w:autoSpaceDN/>
        <w:bidi w:val="0"/>
        <w:adjustRightInd w:val="0"/>
        <w:snapToGrid w:val="0"/>
        <w:spacing w:line="360" w:lineRule="auto"/>
        <w:ind w:firstLine="497" w:firstLineChars="196"/>
        <w:textAlignment w:val="auto"/>
        <w:rPr>
          <w:rFonts w:hint="eastAsia" w:asciiTheme="minorEastAsia" w:hAnsiTheme="minorEastAsia" w:eastAsiaTheme="minorEastAsia" w:cstheme="minorEastAsia"/>
          <w:color w:val="000000" w:themeColor="text1"/>
          <w:szCs w:val="24"/>
          <w:highlight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依照《中华人民共和国民法典》及其它有关法律、行政法规，遵循平等、自愿、公平和诚实信用的原则，双方</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lang w:eastAsia="zh-CN"/>
          <w14:textFill>
            <w14:solidFill>
              <w14:schemeClr w14:val="tx1"/>
            </w14:solidFill>
          </w14:textFill>
        </w:rPr>
        <w:t>协商一致</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订立本合同</w:t>
      </w:r>
      <w:r>
        <w:rPr>
          <w:rFonts w:hint="eastAsia" w:asciiTheme="minorEastAsia" w:hAnsiTheme="minorEastAsia" w:eastAsiaTheme="minorEastAsia" w:cstheme="minorEastAsia"/>
          <w:color w:val="000000" w:themeColor="text1"/>
          <w:szCs w:val="24"/>
          <w:highlight w:val="none"/>
          <w14:textFill>
            <w14:solidFill>
              <w14:schemeClr w14:val="tx1"/>
            </w14:solidFill>
          </w14:textFill>
        </w:rPr>
        <w:t>。</w:t>
      </w:r>
    </w:p>
    <w:p w14:paraId="46E19DF9">
      <w:pPr>
        <w:keepNext w:val="0"/>
        <w:keepLines w:val="0"/>
        <w:pageBreakBefore w:val="0"/>
        <w:widowControl w:val="0"/>
        <w:kinsoku/>
        <w:wordWrap/>
        <w:overflowPunct/>
        <w:topLinePunct w:val="0"/>
        <w:autoSpaceDE/>
        <w:autoSpaceDN/>
        <w:bidi w:val="0"/>
        <w:adjustRightInd w:val="0"/>
        <w:snapToGrid w:val="0"/>
        <w:spacing w:line="360" w:lineRule="auto"/>
        <w:ind w:firstLine="472" w:firstLineChars="196"/>
        <w:textAlignment w:val="auto"/>
        <w:rPr>
          <w:rFonts w:hint="eastAsia" w:ascii="宋体" w:hAnsi="宋体" w:eastAsia="宋体" w:cs="宋体"/>
          <w:b/>
          <w:bCs/>
          <w:color w:val="000000" w:themeColor="text1"/>
          <w:szCs w:val="24"/>
          <w:highlight w:val="none"/>
          <w:lang w:eastAsia="zh-CN"/>
          <w14:textFill>
            <w14:solidFill>
              <w14:schemeClr w14:val="tx1"/>
            </w14:solidFill>
          </w14:textFill>
        </w:rPr>
      </w:pPr>
      <w:r>
        <w:rPr>
          <w:rFonts w:hint="eastAsia" w:ascii="宋体" w:hAnsi="宋体" w:eastAsia="宋体" w:cs="宋体"/>
          <w:b/>
          <w:color w:val="000000" w:themeColor="text1"/>
          <w:szCs w:val="24"/>
          <w:highlight w:val="none"/>
          <w14:textFill>
            <w14:solidFill>
              <w14:schemeClr w14:val="tx1"/>
            </w14:solidFill>
          </w14:textFill>
        </w:rPr>
        <w:t xml:space="preserve">第一条 </w:t>
      </w:r>
      <w:r>
        <w:rPr>
          <w:rFonts w:hint="eastAsia" w:cs="宋体"/>
          <w:b/>
          <w:color w:val="000000" w:themeColor="text1"/>
          <w:szCs w:val="24"/>
          <w:highlight w:val="none"/>
          <w:lang w:val="en-US" w:eastAsia="zh-CN"/>
          <w14:textFill>
            <w14:solidFill>
              <w14:schemeClr w14:val="tx1"/>
            </w14:solidFill>
          </w14:textFill>
        </w:rPr>
        <w:t xml:space="preserve"> 名称、</w:t>
      </w:r>
      <w:r>
        <w:rPr>
          <w:rFonts w:hint="eastAsia" w:ascii="宋体" w:hAnsi="宋体" w:eastAsia="宋体" w:cs="宋体"/>
          <w:b/>
          <w:bCs/>
          <w:color w:val="000000" w:themeColor="text1"/>
          <w:szCs w:val="24"/>
          <w:highlight w:val="none"/>
          <w14:textFill>
            <w14:solidFill>
              <w14:schemeClr w14:val="tx1"/>
            </w14:solidFill>
          </w14:textFill>
        </w:rPr>
        <w:t>规格型号、数量、</w:t>
      </w:r>
      <w:r>
        <w:rPr>
          <w:rFonts w:hint="eastAsia" w:cs="宋体"/>
          <w:b/>
          <w:bCs/>
          <w:color w:val="000000" w:themeColor="text1"/>
          <w:szCs w:val="24"/>
          <w:highlight w:val="none"/>
          <w:lang w:eastAsia="zh-CN"/>
          <w14:textFill>
            <w14:solidFill>
              <w14:schemeClr w14:val="tx1"/>
            </w14:solidFill>
          </w14:textFill>
        </w:rPr>
        <w:t>价款</w:t>
      </w:r>
    </w:p>
    <w:tbl>
      <w:tblPr>
        <w:tblStyle w:val="10"/>
        <w:tblW w:w="106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745"/>
        <w:gridCol w:w="943"/>
        <w:gridCol w:w="681"/>
        <w:gridCol w:w="990"/>
        <w:gridCol w:w="1270"/>
        <w:gridCol w:w="1380"/>
        <w:gridCol w:w="980"/>
        <w:gridCol w:w="1050"/>
        <w:gridCol w:w="1000"/>
        <w:gridCol w:w="1080"/>
      </w:tblGrid>
      <w:tr w14:paraId="1CC3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5" w:hRule="atLeast"/>
          <w:jc w:val="center"/>
        </w:trPr>
        <w:tc>
          <w:tcPr>
            <w:tcW w:w="575" w:type="dxa"/>
            <w:vAlign w:val="center"/>
          </w:tcPr>
          <w:p w14:paraId="51BD8EA4">
            <w:pPr>
              <w:spacing w:line="390" w:lineRule="exact"/>
              <w:jc w:val="center"/>
              <w:rPr>
                <w:rFonts w:ascii="宋体" w:hAnsi="宋体"/>
                <w:bCs/>
                <w:color w:val="000000" w:themeColor="text1"/>
                <w:sz w:val="21"/>
                <w:szCs w:val="21"/>
                <w:highlight w:val="none"/>
                <w14:textFill>
                  <w14:solidFill>
                    <w14:schemeClr w14:val="tx1"/>
                  </w14:solidFill>
                </w14:textFill>
              </w:rPr>
            </w:pPr>
            <w:permStart w:id="8" w:edGrp="everyone"/>
            <w:r>
              <w:rPr>
                <w:rFonts w:hint="eastAsia" w:ascii="宋体" w:hAnsi="宋体"/>
                <w:bCs/>
                <w:color w:val="000000" w:themeColor="text1"/>
                <w:sz w:val="21"/>
                <w:szCs w:val="21"/>
                <w:highlight w:val="none"/>
                <w14:textFill>
                  <w14:solidFill>
                    <w14:schemeClr w14:val="tx1"/>
                  </w14:solidFill>
                </w14:textFill>
              </w:rPr>
              <w:t>序号</w:t>
            </w:r>
          </w:p>
        </w:tc>
        <w:tc>
          <w:tcPr>
            <w:tcW w:w="745" w:type="dxa"/>
            <w:vAlign w:val="center"/>
          </w:tcPr>
          <w:p w14:paraId="68D65FAA">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lang w:eastAsia="zh-CN"/>
                <w14:textFill>
                  <w14:solidFill>
                    <w14:schemeClr w14:val="tx1"/>
                  </w14:solidFill>
                </w14:textFill>
              </w:rPr>
              <w:t>材料</w:t>
            </w:r>
            <w:r>
              <w:rPr>
                <w:rFonts w:ascii="宋体" w:hAnsi="宋体"/>
                <w:bCs/>
                <w:color w:val="000000" w:themeColor="text1"/>
                <w:sz w:val="21"/>
                <w:szCs w:val="21"/>
                <w:highlight w:val="none"/>
                <w14:textFill>
                  <w14:solidFill>
                    <w14:schemeClr w14:val="tx1"/>
                  </w14:solidFill>
                </w14:textFill>
              </w:rPr>
              <w:t>名称</w:t>
            </w:r>
          </w:p>
        </w:tc>
        <w:tc>
          <w:tcPr>
            <w:tcW w:w="943" w:type="dxa"/>
            <w:vAlign w:val="center"/>
          </w:tcPr>
          <w:p w14:paraId="129ABCCD">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规格</w:t>
            </w:r>
          </w:p>
          <w:p w14:paraId="02FA395C">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型号</w:t>
            </w:r>
          </w:p>
        </w:tc>
        <w:tc>
          <w:tcPr>
            <w:tcW w:w="681" w:type="dxa"/>
            <w:vAlign w:val="center"/>
          </w:tcPr>
          <w:p w14:paraId="0A798504">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单位</w:t>
            </w:r>
          </w:p>
        </w:tc>
        <w:tc>
          <w:tcPr>
            <w:tcW w:w="990" w:type="dxa"/>
            <w:vAlign w:val="center"/>
          </w:tcPr>
          <w:p w14:paraId="63DE8C94">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数量</w:t>
            </w:r>
          </w:p>
          <w:p w14:paraId="4C13B76B">
            <w:pPr>
              <w:spacing w:line="390" w:lineRule="exact"/>
              <w:jc w:val="center"/>
              <w:rPr>
                <w:rFonts w:hint="eastAsia" w:ascii="宋体" w:hAnsi="宋体" w:eastAsia="宋体"/>
                <w:bCs/>
                <w:color w:val="000000" w:themeColor="text1"/>
                <w:sz w:val="21"/>
                <w:szCs w:val="21"/>
                <w:highlight w:val="none"/>
                <w:lang w:eastAsia="zh-CN"/>
                <w14:textFill>
                  <w14:solidFill>
                    <w14:schemeClr w14:val="tx1"/>
                  </w14:solidFill>
                </w14:textFill>
              </w:rPr>
            </w:pPr>
            <w:r>
              <w:rPr>
                <w:rFonts w:hint="eastAsia" w:ascii="宋体" w:hAnsi="宋体"/>
                <w:bCs/>
                <w:color w:val="000000" w:themeColor="text1"/>
                <w:sz w:val="21"/>
                <w:szCs w:val="21"/>
                <w:highlight w:val="none"/>
                <w:lang w:eastAsia="zh-CN"/>
                <w14:textFill>
                  <w14:solidFill>
                    <w14:schemeClr w14:val="tx1"/>
                  </w14:solidFill>
                </w14:textFill>
              </w:rPr>
              <w:t>（暂定）</w:t>
            </w:r>
          </w:p>
        </w:tc>
        <w:tc>
          <w:tcPr>
            <w:tcW w:w="1270" w:type="dxa"/>
            <w:vAlign w:val="center"/>
          </w:tcPr>
          <w:p w14:paraId="51F7A17E">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不含增值税单价（元）</w:t>
            </w:r>
          </w:p>
        </w:tc>
        <w:tc>
          <w:tcPr>
            <w:tcW w:w="1380" w:type="dxa"/>
            <w:vAlign w:val="center"/>
          </w:tcPr>
          <w:p w14:paraId="4311C101">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980" w:type="dxa"/>
            <w:vAlign w:val="center"/>
          </w:tcPr>
          <w:p w14:paraId="7A8D3D2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含增值税单价（元）</w:t>
            </w:r>
          </w:p>
        </w:tc>
        <w:tc>
          <w:tcPr>
            <w:tcW w:w="1050" w:type="dxa"/>
            <w:vAlign w:val="center"/>
          </w:tcPr>
          <w:p w14:paraId="6C2C614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1000" w:type="dxa"/>
            <w:vAlign w:val="center"/>
          </w:tcPr>
          <w:p w14:paraId="3F377F97">
            <w:pPr>
              <w:spacing w:line="390" w:lineRule="exact"/>
              <w:jc w:val="center"/>
              <w:rPr>
                <w:rFonts w:hint="default" w:ascii="宋体" w:hAnsi="宋体" w:eastAsia="宋体"/>
                <w:bCs/>
                <w:color w:val="000000" w:themeColor="text1"/>
                <w:sz w:val="21"/>
                <w:szCs w:val="21"/>
                <w:highlight w:val="none"/>
                <w:lang w:val="en-US" w:eastAsia="zh-CN"/>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生产厂家</w:t>
            </w:r>
            <w:r>
              <w:rPr>
                <w:rFonts w:hint="eastAsia" w:ascii="宋体" w:hAnsi="宋体"/>
                <w:bCs/>
                <w:color w:val="000000" w:themeColor="text1"/>
                <w:sz w:val="21"/>
                <w:szCs w:val="21"/>
                <w:highlight w:val="none"/>
                <w:lang w:val="en-US" w:eastAsia="zh-CN"/>
                <w14:textFill>
                  <w14:solidFill>
                    <w14:schemeClr w14:val="tx1"/>
                  </w14:solidFill>
                </w14:textFill>
              </w:rPr>
              <w:t>/产地</w:t>
            </w:r>
          </w:p>
        </w:tc>
        <w:tc>
          <w:tcPr>
            <w:tcW w:w="1080" w:type="dxa"/>
            <w:vAlign w:val="center"/>
          </w:tcPr>
          <w:p w14:paraId="28EC76BA">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备注</w:t>
            </w:r>
          </w:p>
        </w:tc>
      </w:tr>
      <w:tr w14:paraId="77DE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575" w:type="dxa"/>
            <w:vAlign w:val="center"/>
          </w:tcPr>
          <w:p w14:paraId="27CE2403">
            <w:pPr>
              <w:spacing w:line="390" w:lineRule="exact"/>
              <w:jc w:val="center"/>
              <w:rPr>
                <w:rFonts w:ascii="宋体" w:hAnsi="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18"/>
                <w:szCs w:val="18"/>
                <w:highlight w:val="none"/>
                <w14:textFill>
                  <w14:solidFill>
                    <w14:schemeClr w14:val="tx1"/>
                  </w14:solidFill>
                </w14:textFill>
              </w:rPr>
              <w:t>1</w:t>
            </w:r>
          </w:p>
        </w:tc>
        <w:tc>
          <w:tcPr>
            <w:tcW w:w="745" w:type="dxa"/>
            <w:vAlign w:val="center"/>
          </w:tcPr>
          <w:p w14:paraId="66B72691">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r>
              <w:rPr>
                <w:rFonts w:hint="eastAsia" w:ascii="宋体" w:hAnsi="宋体" w:eastAsia="宋体" w:cs="宋体"/>
                <w:i w:val="0"/>
                <w:iCs w:val="0"/>
                <w:color w:val="000000"/>
                <w:kern w:val="0"/>
                <w:sz w:val="22"/>
                <w:szCs w:val="22"/>
                <w:u w:val="none"/>
                <w:lang w:val="en-US" w:eastAsia="zh-CN" w:bidi="ar"/>
              </w:rPr>
              <w:t>定滑轮轴套</w:t>
            </w:r>
          </w:p>
        </w:tc>
        <w:tc>
          <w:tcPr>
            <w:tcW w:w="943" w:type="dxa"/>
            <w:vAlign w:val="center"/>
          </w:tcPr>
          <w:p w14:paraId="30ACA211">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r>
              <w:rPr>
                <w:rFonts w:hint="eastAsia" w:ascii="宋体" w:hAnsi="宋体" w:eastAsia="宋体" w:cs="宋体"/>
                <w:i w:val="0"/>
                <w:iCs w:val="0"/>
                <w:color w:val="000000"/>
                <w:kern w:val="0"/>
                <w:sz w:val="22"/>
                <w:szCs w:val="22"/>
                <w:u w:val="none"/>
                <w:lang w:val="en-US" w:eastAsia="zh-CN" w:bidi="ar"/>
              </w:rPr>
              <w:t>ɸ110</w:t>
            </w:r>
          </w:p>
        </w:tc>
        <w:tc>
          <w:tcPr>
            <w:tcW w:w="681" w:type="dxa"/>
            <w:vAlign w:val="center"/>
          </w:tcPr>
          <w:p w14:paraId="3989EC5D">
            <w:pPr>
              <w:widowControl/>
              <w:jc w:val="center"/>
              <w:rPr>
                <w:rFonts w:ascii="宋体" w:hAnsi="宋体"/>
                <w:color w:val="000000" w:themeColor="text1"/>
                <w:sz w:val="21"/>
                <w:szCs w:val="21"/>
                <w:highlight w:val="none"/>
                <w14:textFill>
                  <w14:solidFill>
                    <w14:schemeClr w14:val="tx1"/>
                  </w14:solidFill>
                </w14:textFill>
              </w:rPr>
            </w:pPr>
            <w:r>
              <w:rPr>
                <w:rFonts w:hint="eastAsia" w:cs="宋体"/>
                <w:color w:val="000000"/>
                <w:kern w:val="0"/>
                <w:sz w:val="22"/>
                <w:szCs w:val="22"/>
                <w:lang w:val="en-US" w:eastAsia="zh-CN"/>
              </w:rPr>
              <w:t>件</w:t>
            </w:r>
          </w:p>
        </w:tc>
        <w:tc>
          <w:tcPr>
            <w:tcW w:w="990" w:type="dxa"/>
            <w:vAlign w:val="center"/>
          </w:tcPr>
          <w:p w14:paraId="3202E95A">
            <w:pPr>
              <w:widowControl/>
              <w:jc w:val="center"/>
              <w:rPr>
                <w:rFonts w:hint="default" w:ascii="宋体" w:hAnsi="宋体"/>
                <w:color w:val="000000" w:themeColor="text1"/>
                <w:sz w:val="21"/>
                <w:szCs w:val="21"/>
                <w:highlight w:val="none"/>
                <w:lang w:val="en-US"/>
                <w14:textFill>
                  <w14:solidFill>
                    <w14:schemeClr w14:val="tx1"/>
                  </w14:solidFill>
                </w14:textFill>
              </w:rPr>
            </w:pPr>
            <w:r>
              <w:rPr>
                <w:rFonts w:hint="eastAsia" w:cs="宋体"/>
                <w:color w:val="000000"/>
                <w:kern w:val="0"/>
                <w:sz w:val="22"/>
                <w:szCs w:val="22"/>
                <w:lang w:val="en-US" w:eastAsia="zh-CN"/>
              </w:rPr>
              <w:t>48</w:t>
            </w:r>
          </w:p>
        </w:tc>
        <w:tc>
          <w:tcPr>
            <w:tcW w:w="1270" w:type="dxa"/>
            <w:vAlign w:val="center"/>
          </w:tcPr>
          <w:p w14:paraId="16D18B7E">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1380" w:type="dxa"/>
            <w:vAlign w:val="center"/>
          </w:tcPr>
          <w:p w14:paraId="0292EFFF">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980" w:type="dxa"/>
            <w:vAlign w:val="center"/>
          </w:tcPr>
          <w:p w14:paraId="1595375C">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1050" w:type="dxa"/>
            <w:vAlign w:val="center"/>
          </w:tcPr>
          <w:p w14:paraId="771E7C45">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1000" w:type="dxa"/>
            <w:vAlign w:val="center"/>
          </w:tcPr>
          <w:p w14:paraId="5A8CF236">
            <w:pPr>
              <w:spacing w:line="390" w:lineRule="exact"/>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大连</w:t>
            </w:r>
          </w:p>
          <w:p w14:paraId="2512EC5D">
            <w:pPr>
              <w:spacing w:line="390" w:lineRule="exact"/>
              <w:jc w:val="center"/>
              <w:rPr>
                <w:rFonts w:hint="default" w:ascii="宋体" w:hAnsi="宋体"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三环</w:t>
            </w:r>
          </w:p>
        </w:tc>
        <w:tc>
          <w:tcPr>
            <w:tcW w:w="1080" w:type="dxa"/>
            <w:vAlign w:val="center"/>
          </w:tcPr>
          <w:p w14:paraId="229BC278">
            <w:pPr>
              <w:keepNext w:val="0"/>
              <w:keepLines w:val="0"/>
              <w:widowControl/>
              <w:suppressLineNumbers w:val="0"/>
              <w:jc w:val="center"/>
              <w:textAlignment w:val="center"/>
              <w:rPr>
                <w:rFonts w:hint="default" w:ascii="宋体" w:hAnsi="宋体" w:eastAsia="宋体"/>
                <w:color w:val="000000" w:themeColor="text1"/>
                <w:sz w:val="18"/>
                <w:szCs w:val="18"/>
                <w:highlight w:val="none"/>
                <w:lang w:val="en-US" w:eastAsia="zh-CN"/>
                <w14:textFill>
                  <w14:solidFill>
                    <w14:schemeClr w14:val="tx1"/>
                  </w14:solidFill>
                </w14:textFill>
              </w:rPr>
            </w:pPr>
            <w:r>
              <w:rPr>
                <w:rFonts w:hint="eastAsia" w:ascii="宋体" w:hAnsi="宋体" w:eastAsia="宋体" w:cs="宋体"/>
                <w:i w:val="0"/>
                <w:iCs w:val="0"/>
                <w:color w:val="000000"/>
                <w:kern w:val="0"/>
                <w:sz w:val="20"/>
                <w:szCs w:val="20"/>
                <w:u w:val="none"/>
                <w:lang w:val="en-US" w:eastAsia="zh-CN" w:bidi="ar"/>
              </w:rPr>
              <w:t xml:space="preserve"> </w:t>
            </w:r>
            <w:r>
              <w:rPr>
                <w:rFonts w:hint="eastAsia" w:cs="宋体"/>
                <w:i w:val="0"/>
                <w:iCs w:val="0"/>
                <w:color w:val="000000"/>
                <w:kern w:val="0"/>
                <w:sz w:val="20"/>
                <w:szCs w:val="20"/>
                <w:u w:val="none"/>
                <w:lang w:val="en-US" w:eastAsia="zh-CN" w:bidi="ar"/>
              </w:rPr>
              <w:t>附图6，</w:t>
            </w:r>
            <w:r>
              <w:rPr>
                <w:rFonts w:hint="eastAsia" w:ascii="宋体" w:hAnsi="宋体" w:eastAsia="宋体" w:cs="宋体"/>
                <w:i w:val="0"/>
                <w:iCs w:val="0"/>
                <w:color w:val="000000"/>
                <w:kern w:val="0"/>
                <w:sz w:val="20"/>
                <w:szCs w:val="20"/>
                <w:u w:val="none"/>
                <w:lang w:val="en-US" w:eastAsia="zh-CN" w:bidi="ar"/>
              </w:rPr>
              <w:t>（材质：</w:t>
            </w:r>
            <w:r>
              <w:rPr>
                <w:rFonts w:hint="eastAsia" w:cs="宋体"/>
                <w:i w:val="0"/>
                <w:iCs w:val="0"/>
                <w:color w:val="000000"/>
                <w:kern w:val="0"/>
                <w:sz w:val="20"/>
                <w:szCs w:val="20"/>
                <w:u w:val="none"/>
                <w:lang w:val="en-US" w:eastAsia="zh-CN" w:bidi="ar"/>
              </w:rPr>
              <w:t>铜基镶嵌</w:t>
            </w:r>
            <w:r>
              <w:rPr>
                <w:rFonts w:hint="eastAsia" w:ascii="宋体" w:hAnsi="宋体" w:eastAsia="宋体" w:cs="宋体"/>
                <w:i w:val="0"/>
                <w:iCs w:val="0"/>
                <w:color w:val="000000"/>
                <w:kern w:val="0"/>
                <w:sz w:val="20"/>
                <w:szCs w:val="20"/>
                <w:u w:val="none"/>
                <w:lang w:val="en-US" w:eastAsia="zh-CN" w:bidi="ar"/>
              </w:rPr>
              <w:t>）杨林退洪闸工作门启闭机QP-2*630kN</w:t>
            </w:r>
          </w:p>
        </w:tc>
      </w:tr>
      <w:tr w14:paraId="4153F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575" w:type="dxa"/>
            <w:vAlign w:val="center"/>
          </w:tcPr>
          <w:p w14:paraId="0A088DDE">
            <w:pPr>
              <w:spacing w:line="390" w:lineRule="exact"/>
              <w:jc w:val="center"/>
              <w:rPr>
                <w:rFonts w:hint="eastAsia" w:ascii="宋体" w:hAnsi="宋体"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2</w:t>
            </w:r>
          </w:p>
        </w:tc>
        <w:tc>
          <w:tcPr>
            <w:tcW w:w="745" w:type="dxa"/>
            <w:vAlign w:val="center"/>
          </w:tcPr>
          <w:p w14:paraId="0E42F625">
            <w:pPr>
              <w:keepNext w:val="0"/>
              <w:keepLines w:val="0"/>
              <w:widowControl/>
              <w:suppressLineNumbers w:val="0"/>
              <w:jc w:val="center"/>
              <w:textAlignment w:val="center"/>
              <w:rPr>
                <w:rFonts w:hint="eastAsia" w:ascii="宋体" w:hAnsi="宋体" w:eastAsia="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i w:val="0"/>
                <w:iCs w:val="0"/>
                <w:color w:val="000000"/>
                <w:kern w:val="0"/>
                <w:sz w:val="22"/>
                <w:szCs w:val="22"/>
                <w:u w:val="none"/>
                <w:lang w:val="en-US" w:eastAsia="zh-CN" w:bidi="ar"/>
              </w:rPr>
              <w:t>动滑轮轴套</w:t>
            </w:r>
          </w:p>
        </w:tc>
        <w:tc>
          <w:tcPr>
            <w:tcW w:w="943" w:type="dxa"/>
            <w:vAlign w:val="center"/>
          </w:tcPr>
          <w:p w14:paraId="1430EBE1">
            <w:pPr>
              <w:keepNext w:val="0"/>
              <w:keepLines w:val="0"/>
              <w:widowControl/>
              <w:suppressLineNumbers w:val="0"/>
              <w:jc w:val="center"/>
              <w:textAlignment w:val="center"/>
              <w:rPr>
                <w:rFonts w:hint="default" w:ascii="宋体" w:hAnsi="宋体" w:eastAsia="宋体"/>
                <w:color w:val="000000" w:themeColor="text1"/>
                <w:sz w:val="21"/>
                <w:szCs w:val="21"/>
                <w:highlight w:val="none"/>
                <w:lang w:val="en-US" w:eastAsia="zh-CN"/>
                <w14:textFill>
                  <w14:solidFill>
                    <w14:schemeClr w14:val="tx1"/>
                  </w14:solidFill>
                </w14:textFill>
              </w:rPr>
            </w:pPr>
            <w:r>
              <w:rPr>
                <w:rFonts w:hint="eastAsia" w:ascii="宋体" w:hAnsi="宋体" w:eastAsia="宋体" w:cs="宋体"/>
                <w:i w:val="0"/>
                <w:iCs w:val="0"/>
                <w:color w:val="000000"/>
                <w:kern w:val="0"/>
                <w:sz w:val="22"/>
                <w:szCs w:val="22"/>
                <w:u w:val="none"/>
                <w:lang w:val="en-US" w:eastAsia="zh-CN" w:bidi="ar"/>
              </w:rPr>
              <w:t>ɸ110</w:t>
            </w:r>
          </w:p>
        </w:tc>
        <w:tc>
          <w:tcPr>
            <w:tcW w:w="681" w:type="dxa"/>
            <w:vAlign w:val="center"/>
          </w:tcPr>
          <w:p w14:paraId="53789D75">
            <w:pPr>
              <w:spacing w:line="390" w:lineRule="exact"/>
              <w:jc w:val="center"/>
              <w:rPr>
                <w:rFonts w:hint="default" w:ascii="宋体" w:hAnsi="宋体"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件</w:t>
            </w:r>
          </w:p>
        </w:tc>
        <w:tc>
          <w:tcPr>
            <w:tcW w:w="990" w:type="dxa"/>
            <w:vAlign w:val="center"/>
          </w:tcPr>
          <w:p w14:paraId="670F82AB">
            <w:pPr>
              <w:spacing w:line="390" w:lineRule="exact"/>
              <w:jc w:val="center"/>
              <w:rPr>
                <w:rFonts w:hint="default" w:ascii="宋体" w:hAnsi="宋体"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72</w:t>
            </w:r>
          </w:p>
        </w:tc>
        <w:tc>
          <w:tcPr>
            <w:tcW w:w="1270" w:type="dxa"/>
            <w:vAlign w:val="center"/>
          </w:tcPr>
          <w:p w14:paraId="420FC752">
            <w:pPr>
              <w:spacing w:line="390" w:lineRule="exact"/>
              <w:rPr>
                <w:rFonts w:ascii="宋体" w:hAnsi="宋体"/>
                <w:color w:val="000000" w:themeColor="text1"/>
                <w:sz w:val="21"/>
                <w:szCs w:val="21"/>
                <w:highlight w:val="none"/>
                <w14:textFill>
                  <w14:solidFill>
                    <w14:schemeClr w14:val="tx1"/>
                  </w14:solidFill>
                </w14:textFill>
              </w:rPr>
            </w:pPr>
          </w:p>
        </w:tc>
        <w:tc>
          <w:tcPr>
            <w:tcW w:w="1380" w:type="dxa"/>
            <w:vAlign w:val="center"/>
          </w:tcPr>
          <w:p w14:paraId="597ED422">
            <w:pPr>
              <w:spacing w:line="390" w:lineRule="exact"/>
              <w:rPr>
                <w:rFonts w:ascii="宋体" w:hAnsi="宋体"/>
                <w:color w:val="000000" w:themeColor="text1"/>
                <w:sz w:val="21"/>
                <w:szCs w:val="21"/>
                <w:highlight w:val="none"/>
                <w14:textFill>
                  <w14:solidFill>
                    <w14:schemeClr w14:val="tx1"/>
                  </w14:solidFill>
                </w14:textFill>
              </w:rPr>
            </w:pPr>
          </w:p>
        </w:tc>
        <w:tc>
          <w:tcPr>
            <w:tcW w:w="980" w:type="dxa"/>
          </w:tcPr>
          <w:p w14:paraId="4C40F41B">
            <w:pPr>
              <w:spacing w:line="390" w:lineRule="exact"/>
              <w:rPr>
                <w:rFonts w:ascii="宋体" w:hAnsi="宋体"/>
                <w:color w:val="000000" w:themeColor="text1"/>
                <w:sz w:val="21"/>
                <w:szCs w:val="21"/>
                <w:highlight w:val="none"/>
                <w14:textFill>
                  <w14:solidFill>
                    <w14:schemeClr w14:val="tx1"/>
                  </w14:solidFill>
                </w14:textFill>
              </w:rPr>
            </w:pPr>
          </w:p>
        </w:tc>
        <w:tc>
          <w:tcPr>
            <w:tcW w:w="1050" w:type="dxa"/>
          </w:tcPr>
          <w:p w14:paraId="13E64F15">
            <w:pPr>
              <w:spacing w:line="390" w:lineRule="exact"/>
              <w:rPr>
                <w:rFonts w:ascii="宋体" w:hAnsi="宋体"/>
                <w:color w:val="000000" w:themeColor="text1"/>
                <w:sz w:val="21"/>
                <w:szCs w:val="21"/>
                <w:highlight w:val="none"/>
                <w14:textFill>
                  <w14:solidFill>
                    <w14:schemeClr w14:val="tx1"/>
                  </w14:solidFill>
                </w14:textFill>
              </w:rPr>
            </w:pPr>
          </w:p>
        </w:tc>
        <w:tc>
          <w:tcPr>
            <w:tcW w:w="1000" w:type="dxa"/>
            <w:vAlign w:val="center"/>
          </w:tcPr>
          <w:p w14:paraId="4D9B61E8">
            <w:pPr>
              <w:spacing w:line="390" w:lineRule="exact"/>
              <w:jc w:val="center"/>
              <w:rPr>
                <w:rFonts w:hint="eastAsia"/>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大连</w:t>
            </w:r>
          </w:p>
          <w:p w14:paraId="756301FA">
            <w:pPr>
              <w:spacing w:line="390" w:lineRule="exact"/>
              <w:jc w:val="center"/>
              <w:rPr>
                <w:rFonts w:hint="default" w:ascii="宋体" w:hAnsi="宋体" w:eastAsia="宋体"/>
                <w:color w:val="000000" w:themeColor="text1"/>
                <w:sz w:val="21"/>
                <w:szCs w:val="21"/>
                <w:highlight w:val="none"/>
                <w:lang w:val="en-US" w:eastAsia="zh-CN"/>
                <w14:textFill>
                  <w14:solidFill>
                    <w14:schemeClr w14:val="tx1"/>
                  </w14:solidFill>
                </w14:textFill>
              </w:rPr>
            </w:pPr>
            <w:r>
              <w:rPr>
                <w:rFonts w:hint="eastAsia"/>
                <w:color w:val="000000" w:themeColor="text1"/>
                <w:sz w:val="21"/>
                <w:szCs w:val="21"/>
                <w:highlight w:val="none"/>
                <w:lang w:val="en-US" w:eastAsia="zh-CN"/>
                <w14:textFill>
                  <w14:solidFill>
                    <w14:schemeClr w14:val="tx1"/>
                  </w14:solidFill>
                </w14:textFill>
              </w:rPr>
              <w:t>三环</w:t>
            </w:r>
          </w:p>
        </w:tc>
        <w:tc>
          <w:tcPr>
            <w:tcW w:w="1080" w:type="dxa"/>
            <w:vAlign w:val="center"/>
          </w:tcPr>
          <w:p w14:paraId="23B2DF33">
            <w:pPr>
              <w:keepNext w:val="0"/>
              <w:keepLines w:val="0"/>
              <w:widowControl/>
              <w:suppressLineNumbers w:val="0"/>
              <w:jc w:val="center"/>
              <w:textAlignment w:val="center"/>
              <w:rPr>
                <w:rFonts w:hint="default" w:ascii="宋体" w:hAnsi="宋体" w:eastAsia="宋体"/>
                <w:color w:val="000000" w:themeColor="text1"/>
                <w:sz w:val="18"/>
                <w:szCs w:val="18"/>
                <w:highlight w:val="none"/>
                <w:lang w:val="en-US" w:eastAsia="zh-CN"/>
                <w14:textFill>
                  <w14:solidFill>
                    <w14:schemeClr w14:val="tx1"/>
                  </w14:solidFill>
                </w14:textFill>
              </w:rPr>
            </w:pPr>
            <w:r>
              <w:rPr>
                <w:rFonts w:hint="eastAsia" w:cs="宋体"/>
                <w:i w:val="0"/>
                <w:iCs w:val="0"/>
                <w:color w:val="000000"/>
                <w:kern w:val="0"/>
                <w:sz w:val="20"/>
                <w:szCs w:val="20"/>
                <w:u w:val="none"/>
                <w:lang w:val="en-US" w:eastAsia="zh-CN" w:bidi="ar"/>
              </w:rPr>
              <w:t>附图8，</w:t>
            </w:r>
            <w:r>
              <w:rPr>
                <w:rFonts w:hint="eastAsia" w:ascii="宋体" w:hAnsi="宋体" w:eastAsia="宋体" w:cs="宋体"/>
                <w:i w:val="0"/>
                <w:iCs w:val="0"/>
                <w:color w:val="000000"/>
                <w:kern w:val="0"/>
                <w:sz w:val="20"/>
                <w:szCs w:val="20"/>
                <w:u w:val="none"/>
                <w:lang w:val="en-US" w:eastAsia="zh-CN" w:bidi="ar"/>
              </w:rPr>
              <w:t>（材质：</w:t>
            </w:r>
            <w:r>
              <w:rPr>
                <w:rFonts w:hint="eastAsia" w:cs="宋体"/>
                <w:i w:val="0"/>
                <w:iCs w:val="0"/>
                <w:color w:val="000000"/>
                <w:kern w:val="0"/>
                <w:sz w:val="20"/>
                <w:szCs w:val="20"/>
                <w:u w:val="none"/>
                <w:lang w:val="en-US" w:eastAsia="zh-CN" w:bidi="ar"/>
              </w:rPr>
              <w:t>铜基镶嵌</w:t>
            </w:r>
            <w:r>
              <w:rPr>
                <w:rFonts w:hint="eastAsia" w:ascii="宋体" w:hAnsi="宋体" w:eastAsia="宋体" w:cs="宋体"/>
                <w:i w:val="0"/>
                <w:iCs w:val="0"/>
                <w:color w:val="000000"/>
                <w:kern w:val="0"/>
                <w:sz w:val="20"/>
                <w:szCs w:val="20"/>
                <w:u w:val="none"/>
                <w:lang w:val="en-US" w:eastAsia="zh-CN" w:bidi="ar"/>
              </w:rPr>
              <w:t>）</w:t>
            </w:r>
            <w:r>
              <w:rPr>
                <w:rFonts w:hint="eastAsia" w:cs="宋体"/>
                <w:i w:val="0"/>
                <w:iCs w:val="0"/>
                <w:color w:val="000000"/>
                <w:kern w:val="0"/>
                <w:sz w:val="20"/>
                <w:szCs w:val="20"/>
                <w:u w:val="none"/>
                <w:lang w:val="en-US" w:eastAsia="zh-CN" w:bidi="ar"/>
              </w:rPr>
              <w:t>，</w:t>
            </w:r>
            <w:r>
              <w:rPr>
                <w:rFonts w:hint="eastAsia" w:ascii="宋体" w:hAnsi="宋体" w:eastAsia="宋体" w:cs="宋体"/>
                <w:i w:val="0"/>
                <w:iCs w:val="0"/>
                <w:color w:val="000000"/>
                <w:kern w:val="0"/>
                <w:sz w:val="20"/>
                <w:szCs w:val="20"/>
                <w:u w:val="none"/>
                <w:lang w:val="en-US" w:eastAsia="zh-CN" w:bidi="ar"/>
              </w:rPr>
              <w:t>杨林退洪闸工作门启闭机QP-2*630kN</w:t>
            </w:r>
          </w:p>
        </w:tc>
      </w:tr>
      <w:tr w14:paraId="3F223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575" w:type="dxa"/>
            <w:vAlign w:val="center"/>
          </w:tcPr>
          <w:p w14:paraId="2A520703">
            <w:pPr>
              <w:spacing w:line="390" w:lineRule="exact"/>
              <w:jc w:val="center"/>
              <w:rPr>
                <w:rFonts w:hint="eastAsia" w:ascii="宋体" w:hAnsi="宋体" w:eastAsia="宋体"/>
                <w:color w:val="000000" w:themeColor="text1"/>
                <w:sz w:val="21"/>
                <w:szCs w:val="21"/>
                <w:highlight w:val="none"/>
                <w:lang w:val="en-US" w:eastAsia="zh-CN"/>
                <w14:textFill>
                  <w14:solidFill>
                    <w14:schemeClr w14:val="tx1"/>
                  </w14:solidFill>
                </w14:textFill>
              </w:rPr>
            </w:pPr>
          </w:p>
        </w:tc>
        <w:tc>
          <w:tcPr>
            <w:tcW w:w="745" w:type="dxa"/>
            <w:vAlign w:val="center"/>
          </w:tcPr>
          <w:p w14:paraId="31C364AE">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943" w:type="dxa"/>
            <w:vAlign w:val="center"/>
          </w:tcPr>
          <w:p w14:paraId="1D55BBA0">
            <w:pPr>
              <w:keepNext w:val="0"/>
              <w:keepLines w:val="0"/>
              <w:widowControl/>
              <w:suppressLineNumbers w:val="0"/>
              <w:jc w:val="center"/>
              <w:textAlignment w:val="center"/>
              <w:rPr>
                <w:rFonts w:ascii="宋体" w:hAnsi="宋体"/>
                <w:color w:val="000000" w:themeColor="text1"/>
                <w:sz w:val="21"/>
                <w:szCs w:val="21"/>
                <w:highlight w:val="none"/>
                <w14:textFill>
                  <w14:solidFill>
                    <w14:schemeClr w14:val="tx1"/>
                  </w14:solidFill>
                </w14:textFill>
              </w:rPr>
            </w:pPr>
          </w:p>
        </w:tc>
        <w:tc>
          <w:tcPr>
            <w:tcW w:w="681" w:type="dxa"/>
            <w:vAlign w:val="center"/>
          </w:tcPr>
          <w:p w14:paraId="6A8841B6">
            <w:pPr>
              <w:spacing w:line="390" w:lineRule="exact"/>
              <w:rPr>
                <w:rFonts w:hint="eastAsia" w:ascii="宋体" w:hAnsi="宋体" w:eastAsia="宋体"/>
                <w:color w:val="000000" w:themeColor="text1"/>
                <w:sz w:val="21"/>
                <w:szCs w:val="21"/>
                <w:highlight w:val="none"/>
                <w:lang w:val="en-US" w:eastAsia="zh-CN"/>
                <w14:textFill>
                  <w14:solidFill>
                    <w14:schemeClr w14:val="tx1"/>
                  </w14:solidFill>
                </w14:textFill>
              </w:rPr>
            </w:pPr>
          </w:p>
        </w:tc>
        <w:tc>
          <w:tcPr>
            <w:tcW w:w="990" w:type="dxa"/>
            <w:vAlign w:val="center"/>
          </w:tcPr>
          <w:p w14:paraId="63E65BF6">
            <w:pPr>
              <w:spacing w:line="390" w:lineRule="exact"/>
              <w:ind w:firstLine="210" w:firstLineChars="100"/>
              <w:rPr>
                <w:rFonts w:hint="default" w:ascii="宋体" w:hAnsi="宋体" w:eastAsia="宋体"/>
                <w:color w:val="000000" w:themeColor="text1"/>
                <w:sz w:val="21"/>
                <w:szCs w:val="21"/>
                <w:highlight w:val="none"/>
                <w:lang w:val="en-US" w:eastAsia="zh-CN"/>
                <w14:textFill>
                  <w14:solidFill>
                    <w14:schemeClr w14:val="tx1"/>
                  </w14:solidFill>
                </w14:textFill>
              </w:rPr>
            </w:pPr>
          </w:p>
        </w:tc>
        <w:tc>
          <w:tcPr>
            <w:tcW w:w="1270" w:type="dxa"/>
            <w:vAlign w:val="center"/>
          </w:tcPr>
          <w:p w14:paraId="10DAC5F5">
            <w:pPr>
              <w:spacing w:line="390" w:lineRule="exact"/>
              <w:rPr>
                <w:rFonts w:ascii="宋体" w:hAnsi="宋体"/>
                <w:color w:val="000000" w:themeColor="text1"/>
                <w:sz w:val="21"/>
                <w:szCs w:val="21"/>
                <w:highlight w:val="none"/>
                <w14:textFill>
                  <w14:solidFill>
                    <w14:schemeClr w14:val="tx1"/>
                  </w14:solidFill>
                </w14:textFill>
              </w:rPr>
            </w:pPr>
          </w:p>
        </w:tc>
        <w:tc>
          <w:tcPr>
            <w:tcW w:w="1380" w:type="dxa"/>
            <w:vAlign w:val="center"/>
          </w:tcPr>
          <w:p w14:paraId="5F4C3D66">
            <w:pPr>
              <w:spacing w:line="390" w:lineRule="exact"/>
              <w:rPr>
                <w:rFonts w:ascii="宋体" w:hAnsi="宋体"/>
                <w:color w:val="000000" w:themeColor="text1"/>
                <w:sz w:val="21"/>
                <w:szCs w:val="21"/>
                <w:highlight w:val="none"/>
                <w14:textFill>
                  <w14:solidFill>
                    <w14:schemeClr w14:val="tx1"/>
                  </w14:solidFill>
                </w14:textFill>
              </w:rPr>
            </w:pPr>
          </w:p>
        </w:tc>
        <w:tc>
          <w:tcPr>
            <w:tcW w:w="980" w:type="dxa"/>
          </w:tcPr>
          <w:p w14:paraId="1F2AEB12">
            <w:pPr>
              <w:spacing w:line="390" w:lineRule="exact"/>
              <w:rPr>
                <w:rFonts w:ascii="宋体" w:hAnsi="宋体"/>
                <w:color w:val="000000" w:themeColor="text1"/>
                <w:sz w:val="21"/>
                <w:szCs w:val="21"/>
                <w:highlight w:val="none"/>
                <w14:textFill>
                  <w14:solidFill>
                    <w14:schemeClr w14:val="tx1"/>
                  </w14:solidFill>
                </w14:textFill>
              </w:rPr>
            </w:pPr>
          </w:p>
        </w:tc>
        <w:tc>
          <w:tcPr>
            <w:tcW w:w="1050" w:type="dxa"/>
          </w:tcPr>
          <w:p w14:paraId="0F3436D4">
            <w:pPr>
              <w:spacing w:line="390" w:lineRule="exact"/>
              <w:rPr>
                <w:rFonts w:ascii="宋体" w:hAnsi="宋体"/>
                <w:color w:val="000000" w:themeColor="text1"/>
                <w:sz w:val="21"/>
                <w:szCs w:val="21"/>
                <w:highlight w:val="none"/>
                <w14:textFill>
                  <w14:solidFill>
                    <w14:schemeClr w14:val="tx1"/>
                  </w14:solidFill>
                </w14:textFill>
              </w:rPr>
            </w:pPr>
          </w:p>
        </w:tc>
        <w:tc>
          <w:tcPr>
            <w:tcW w:w="1000" w:type="dxa"/>
            <w:vAlign w:val="center"/>
          </w:tcPr>
          <w:p w14:paraId="6BB5CCFE">
            <w:pPr>
              <w:spacing w:line="390" w:lineRule="exact"/>
              <w:jc w:val="center"/>
              <w:rPr>
                <w:rFonts w:hint="default" w:ascii="宋体" w:hAnsi="宋体" w:eastAsia="宋体"/>
                <w:color w:val="000000" w:themeColor="text1"/>
                <w:sz w:val="21"/>
                <w:szCs w:val="21"/>
                <w:highlight w:val="none"/>
                <w:lang w:val="en-US" w:eastAsia="zh-CN"/>
                <w14:textFill>
                  <w14:solidFill>
                    <w14:schemeClr w14:val="tx1"/>
                  </w14:solidFill>
                </w14:textFill>
              </w:rPr>
            </w:pPr>
          </w:p>
        </w:tc>
        <w:tc>
          <w:tcPr>
            <w:tcW w:w="1080" w:type="dxa"/>
            <w:vAlign w:val="center"/>
          </w:tcPr>
          <w:p w14:paraId="28DBC520">
            <w:pPr>
              <w:keepNext w:val="0"/>
              <w:keepLines w:val="0"/>
              <w:widowControl/>
              <w:suppressLineNumbers w:val="0"/>
              <w:jc w:val="center"/>
              <w:textAlignment w:val="center"/>
              <w:rPr>
                <w:rFonts w:ascii="宋体" w:hAnsi="宋体"/>
                <w:color w:val="000000" w:themeColor="text1"/>
                <w:sz w:val="18"/>
                <w:szCs w:val="18"/>
                <w:highlight w:val="none"/>
                <w14:textFill>
                  <w14:solidFill>
                    <w14:schemeClr w14:val="tx1"/>
                  </w14:solidFill>
                </w14:textFill>
              </w:rPr>
            </w:pPr>
          </w:p>
        </w:tc>
      </w:tr>
      <w:tr w14:paraId="6A31B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575" w:type="dxa"/>
            <w:vAlign w:val="center"/>
          </w:tcPr>
          <w:p w14:paraId="21578A2E">
            <w:pPr>
              <w:spacing w:line="390" w:lineRule="exact"/>
              <w:jc w:val="center"/>
              <w:rPr>
                <w:rFonts w:hint="eastAsia" w:ascii="宋体" w:hAnsi="宋体" w:eastAsia="宋体"/>
                <w:color w:val="000000" w:themeColor="text1"/>
                <w:sz w:val="21"/>
                <w:szCs w:val="21"/>
                <w:highlight w:val="none"/>
                <w:lang w:val="en-US" w:eastAsia="zh-CN"/>
                <w14:textFill>
                  <w14:solidFill>
                    <w14:schemeClr w14:val="tx1"/>
                  </w14:solidFill>
                </w14:textFill>
              </w:rPr>
            </w:pPr>
          </w:p>
        </w:tc>
        <w:tc>
          <w:tcPr>
            <w:tcW w:w="745" w:type="dxa"/>
            <w:vAlign w:val="center"/>
          </w:tcPr>
          <w:p w14:paraId="6A28E086">
            <w:pPr>
              <w:spacing w:line="390" w:lineRule="exact"/>
              <w:rPr>
                <w:rFonts w:ascii="宋体" w:hAnsi="宋体"/>
                <w:color w:val="000000" w:themeColor="text1"/>
                <w:sz w:val="21"/>
                <w:szCs w:val="21"/>
                <w:highlight w:val="none"/>
                <w14:textFill>
                  <w14:solidFill>
                    <w14:schemeClr w14:val="tx1"/>
                  </w14:solidFill>
                </w14:textFill>
              </w:rPr>
            </w:pPr>
          </w:p>
        </w:tc>
        <w:tc>
          <w:tcPr>
            <w:tcW w:w="943" w:type="dxa"/>
            <w:vAlign w:val="center"/>
          </w:tcPr>
          <w:p w14:paraId="2CAA3507">
            <w:pPr>
              <w:spacing w:line="390" w:lineRule="exact"/>
              <w:rPr>
                <w:rFonts w:ascii="宋体" w:hAnsi="宋体"/>
                <w:color w:val="000000" w:themeColor="text1"/>
                <w:sz w:val="21"/>
                <w:szCs w:val="21"/>
                <w:highlight w:val="none"/>
                <w14:textFill>
                  <w14:solidFill>
                    <w14:schemeClr w14:val="tx1"/>
                  </w14:solidFill>
                </w14:textFill>
              </w:rPr>
            </w:pPr>
          </w:p>
        </w:tc>
        <w:tc>
          <w:tcPr>
            <w:tcW w:w="681" w:type="dxa"/>
            <w:vAlign w:val="center"/>
          </w:tcPr>
          <w:p w14:paraId="1AFCDBF6">
            <w:pPr>
              <w:spacing w:line="390" w:lineRule="exact"/>
              <w:rPr>
                <w:rFonts w:ascii="宋体" w:hAnsi="宋体"/>
                <w:color w:val="000000" w:themeColor="text1"/>
                <w:sz w:val="21"/>
                <w:szCs w:val="21"/>
                <w:highlight w:val="none"/>
                <w14:textFill>
                  <w14:solidFill>
                    <w14:schemeClr w14:val="tx1"/>
                  </w14:solidFill>
                </w14:textFill>
              </w:rPr>
            </w:pPr>
          </w:p>
        </w:tc>
        <w:tc>
          <w:tcPr>
            <w:tcW w:w="990" w:type="dxa"/>
            <w:vAlign w:val="center"/>
          </w:tcPr>
          <w:p w14:paraId="148EDE18">
            <w:pPr>
              <w:spacing w:line="390" w:lineRule="exact"/>
              <w:rPr>
                <w:rFonts w:ascii="宋体" w:hAnsi="宋体"/>
                <w:color w:val="000000" w:themeColor="text1"/>
                <w:sz w:val="21"/>
                <w:szCs w:val="21"/>
                <w:highlight w:val="none"/>
                <w14:textFill>
                  <w14:solidFill>
                    <w14:schemeClr w14:val="tx1"/>
                  </w14:solidFill>
                </w14:textFill>
              </w:rPr>
            </w:pPr>
          </w:p>
        </w:tc>
        <w:tc>
          <w:tcPr>
            <w:tcW w:w="1270" w:type="dxa"/>
            <w:vAlign w:val="center"/>
          </w:tcPr>
          <w:p w14:paraId="60271FD8">
            <w:pPr>
              <w:spacing w:line="390" w:lineRule="exact"/>
              <w:rPr>
                <w:rFonts w:ascii="宋体" w:hAnsi="宋体"/>
                <w:color w:val="000000" w:themeColor="text1"/>
                <w:sz w:val="21"/>
                <w:szCs w:val="21"/>
                <w:highlight w:val="none"/>
                <w14:textFill>
                  <w14:solidFill>
                    <w14:schemeClr w14:val="tx1"/>
                  </w14:solidFill>
                </w14:textFill>
              </w:rPr>
            </w:pPr>
          </w:p>
        </w:tc>
        <w:tc>
          <w:tcPr>
            <w:tcW w:w="1380" w:type="dxa"/>
            <w:vAlign w:val="center"/>
          </w:tcPr>
          <w:p w14:paraId="16E81994">
            <w:pPr>
              <w:spacing w:line="390" w:lineRule="exact"/>
              <w:rPr>
                <w:rFonts w:ascii="宋体" w:hAnsi="宋体"/>
                <w:color w:val="000000" w:themeColor="text1"/>
                <w:sz w:val="21"/>
                <w:szCs w:val="21"/>
                <w:highlight w:val="none"/>
                <w14:textFill>
                  <w14:solidFill>
                    <w14:schemeClr w14:val="tx1"/>
                  </w14:solidFill>
                </w14:textFill>
              </w:rPr>
            </w:pPr>
          </w:p>
        </w:tc>
        <w:tc>
          <w:tcPr>
            <w:tcW w:w="980" w:type="dxa"/>
          </w:tcPr>
          <w:p w14:paraId="212EC427">
            <w:pPr>
              <w:spacing w:line="390" w:lineRule="exact"/>
              <w:rPr>
                <w:rFonts w:ascii="宋体" w:hAnsi="宋体"/>
                <w:color w:val="000000" w:themeColor="text1"/>
                <w:sz w:val="21"/>
                <w:szCs w:val="21"/>
                <w:highlight w:val="none"/>
                <w14:textFill>
                  <w14:solidFill>
                    <w14:schemeClr w14:val="tx1"/>
                  </w14:solidFill>
                </w14:textFill>
              </w:rPr>
            </w:pPr>
          </w:p>
        </w:tc>
        <w:tc>
          <w:tcPr>
            <w:tcW w:w="1050" w:type="dxa"/>
          </w:tcPr>
          <w:p w14:paraId="0547F01F">
            <w:pPr>
              <w:spacing w:line="390" w:lineRule="exact"/>
              <w:rPr>
                <w:rFonts w:ascii="宋体" w:hAnsi="宋体"/>
                <w:color w:val="000000" w:themeColor="text1"/>
                <w:sz w:val="21"/>
                <w:szCs w:val="21"/>
                <w:highlight w:val="none"/>
                <w14:textFill>
                  <w14:solidFill>
                    <w14:schemeClr w14:val="tx1"/>
                  </w14:solidFill>
                </w14:textFill>
              </w:rPr>
            </w:pPr>
          </w:p>
        </w:tc>
        <w:tc>
          <w:tcPr>
            <w:tcW w:w="1000" w:type="dxa"/>
          </w:tcPr>
          <w:p w14:paraId="3F196A82">
            <w:pPr>
              <w:spacing w:line="390" w:lineRule="exact"/>
              <w:rPr>
                <w:rFonts w:ascii="宋体" w:hAnsi="宋体"/>
                <w:color w:val="000000" w:themeColor="text1"/>
                <w:sz w:val="21"/>
                <w:szCs w:val="21"/>
                <w:highlight w:val="none"/>
                <w14:textFill>
                  <w14:solidFill>
                    <w14:schemeClr w14:val="tx1"/>
                  </w14:solidFill>
                </w14:textFill>
              </w:rPr>
            </w:pPr>
          </w:p>
        </w:tc>
        <w:tc>
          <w:tcPr>
            <w:tcW w:w="1080" w:type="dxa"/>
            <w:vAlign w:val="center"/>
          </w:tcPr>
          <w:p w14:paraId="2475EE95">
            <w:pPr>
              <w:spacing w:line="390" w:lineRule="exact"/>
              <w:rPr>
                <w:rFonts w:ascii="宋体" w:hAnsi="宋体"/>
                <w:color w:val="000000" w:themeColor="text1"/>
                <w:sz w:val="21"/>
                <w:szCs w:val="21"/>
                <w:highlight w:val="none"/>
                <w14:textFill>
                  <w14:solidFill>
                    <w14:schemeClr w14:val="tx1"/>
                  </w14:solidFill>
                </w14:textFill>
              </w:rPr>
            </w:pPr>
          </w:p>
        </w:tc>
      </w:tr>
      <w:tr w14:paraId="39848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2A6621F8">
            <w:pPr>
              <w:spacing w:line="390" w:lineRule="exact"/>
              <w:rPr>
                <w:rFonts w:ascii="宋体" w:hAnsi="宋体"/>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增值税税率为</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14:textFill>
                  <w14:solidFill>
                    <w14:schemeClr w14:val="tx1"/>
                  </w14:solidFill>
                </w14:textFill>
              </w:rPr>
              <w:t>%，增值税额：</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14:textFill>
                  <w14:solidFill>
                    <w14:schemeClr w14:val="tx1"/>
                  </w14:solidFill>
                </w14:textFill>
              </w:rPr>
              <w:t>元。</w:t>
            </w:r>
          </w:p>
        </w:tc>
      </w:tr>
      <w:tr w14:paraId="79F42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1"/>
            <w:vAlign w:val="center"/>
          </w:tcPr>
          <w:p w14:paraId="08777A9B">
            <w:pPr>
              <w:spacing w:line="390" w:lineRule="exact"/>
              <w:rPr>
                <w:rFonts w:ascii="宋体" w:hAnsi="宋体"/>
                <w:color w:val="000000" w:themeColor="text1"/>
                <w:sz w:val="21"/>
                <w:szCs w:val="21"/>
                <w:highlight w:val="none"/>
                <w14:textFill>
                  <w14:solidFill>
                    <w14:schemeClr w14:val="tx1"/>
                  </w14:solidFill>
                </w14:textFill>
              </w:rPr>
            </w:pPr>
            <w:r>
              <w:rPr>
                <w:rFonts w:ascii="宋体" w:hAnsi="宋体"/>
                <w:color w:val="000000" w:themeColor="text1"/>
                <w:sz w:val="21"/>
                <w:szCs w:val="21"/>
                <w:highlight w:val="none"/>
                <w14:textFill>
                  <w14:solidFill>
                    <w14:schemeClr w14:val="tx1"/>
                  </w14:solidFill>
                </w14:textFill>
              </w:rPr>
              <w:t>含增值税总价</w:t>
            </w:r>
            <w:r>
              <w:rPr>
                <w:rFonts w:hint="eastAsia" w:ascii="宋体" w:hAnsi="宋体"/>
                <w:color w:val="000000" w:themeColor="text1"/>
                <w:sz w:val="21"/>
                <w:szCs w:val="21"/>
                <w:highlight w:val="none"/>
                <w14:textFill>
                  <w14:solidFill>
                    <w14:schemeClr w14:val="tx1"/>
                  </w14:solidFill>
                </w14:textFill>
              </w:rPr>
              <w:t>（大写）：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 xml:space="preserve"> （小写）：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元。</w:t>
            </w:r>
          </w:p>
        </w:tc>
      </w:tr>
      <w:permEnd w:id="8"/>
    </w:tbl>
    <w:p w14:paraId="28D5B45E">
      <w:pPr>
        <w:keepNext/>
        <w:keepLines/>
        <w:pageBreakBefore w:val="0"/>
        <w:kinsoku/>
        <w:wordWrap/>
        <w:overflowPunct/>
        <w:topLinePunct w:val="0"/>
        <w:autoSpaceDE/>
        <w:autoSpaceDN/>
        <w:bidi w:val="0"/>
        <w:adjustRightInd w:val="0"/>
        <w:snapToGrid w:val="0"/>
        <w:spacing w:line="360" w:lineRule="auto"/>
        <w:ind w:firstLine="482" w:firstLineChars="200"/>
        <w:outlineLvl w:val="0"/>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第二条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t>合同供货期限</w:t>
      </w:r>
    </w:p>
    <w:p w14:paraId="68732279">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供货</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期限自</w:t>
      </w:r>
      <w:permStart w:id="9"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日至</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w:t>
      </w:r>
      <w:permEnd w:id="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；该期限为暂定期限，甲方有权根据施工需要单方调整合同供货期限，但应提前</w:t>
      </w:r>
      <w:permStart w:id="1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日通知乙方。</w:t>
      </w:r>
    </w:p>
    <w:p w14:paraId="6BAE71C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质量标准</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、验收、</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质量责任</w:t>
      </w:r>
    </w:p>
    <w:p w14:paraId="780B15E2">
      <w:pPr>
        <w:keepNext w:val="0"/>
        <w:keepLines w:val="0"/>
        <w:pageBreakBefore w:val="0"/>
        <w:kinsoku/>
        <w:wordWrap/>
        <w:overflowPunct/>
        <w:topLinePunct w:val="0"/>
        <w:autoSpaceDE/>
        <w:autoSpaceDN/>
        <w:bidi w:val="0"/>
        <w:adjustRightInd w:val="0"/>
        <w:snapToGrid w:val="0"/>
        <w:spacing w:line="360" w:lineRule="auto"/>
        <w:ind w:left="0" w:leftChars="0" w:right="0" w:rightChars="0"/>
        <w:textAlignment w:val="baseline"/>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w:t>
      </w:r>
      <w:r>
        <w:rPr>
          <w:rFonts w:hint="eastAsia" w:asciiTheme="minorEastAsia" w:hAnsiTheme="minorEastAsia" w:eastAsiaTheme="minorEastAsia" w:cstheme="minorEastAsia"/>
          <w:color w:val="000000" w:themeColor="text1"/>
          <w:spacing w:val="-8"/>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质量标准：</w:t>
      </w:r>
      <w:permStart w:id="11" w:edGrp="everyone"/>
      <w:r>
        <w:rPr>
          <w:rFonts w:hint="eastAsia" w:asciiTheme="minorEastAsia" w:hAnsiTheme="minorEastAsia" w:eastAsiaTheme="minorEastAsia" w:cstheme="minorEastAsia"/>
          <w:color w:val="000000" w:themeColor="text1"/>
          <w:kern w:val="0"/>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满足</w:t>
      </w:r>
      <w:r>
        <w:rPr>
          <w:rFonts w:hint="eastAsia" w:asciiTheme="minorEastAsia" w:hAnsiTheme="minorEastAsia" w:eastAsiaTheme="minorEastAsia" w:cstheme="minorEastAsia"/>
          <w:color w:val="FF0000"/>
          <w:kern w:val="0"/>
          <w:sz w:val="24"/>
          <w:szCs w:val="24"/>
          <w:highlight w:val="none"/>
          <w:u w:val="single"/>
          <w:lang w:val="en-US" w:eastAsia="zh-CN"/>
        </w:rPr>
        <w:t>甲方</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《招标文件》技术要求及相关条款</w:t>
      </w:r>
      <w:r>
        <w:rPr>
          <w:rFonts w:hint="eastAsia" w:asciiTheme="minorEastAsia" w:hAnsiTheme="minorEastAsia" w:eastAsiaTheme="minorEastAsia" w:cstheme="minorEastAsia"/>
          <w:color w:val="000000" w:themeColor="text1"/>
          <w:kern w:val="0"/>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等国家现行标准、检测规范要求及符合本工程建设单位为本工程编制的《招标文件》、施工图设计及其引用的相关国家和行业标准。</w:t>
      </w:r>
    </w:p>
    <w:p w14:paraId="5930ABB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2、乙方应提供的合格证明材料</w:t>
      </w:r>
      <w:permStart w:id="1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spacing w:val="-18"/>
          <w:sz w:val="24"/>
          <w:szCs w:val="24"/>
          <w:u w:val="single" w:color="auto"/>
        </w:rPr>
        <w:t>（</w:t>
      </w:r>
      <w:r>
        <w:rPr>
          <w:spacing w:val="2"/>
          <w:sz w:val="24"/>
          <w:szCs w:val="24"/>
          <w:u w:val="single" w:color="auto"/>
        </w:rPr>
        <w:t>1）</w:t>
      </w:r>
      <w:r>
        <w:rPr>
          <w:rFonts w:hint="eastAsia"/>
          <w:u w:val="single"/>
        </w:rPr>
        <w:t>原材料质保书</w:t>
      </w:r>
      <w:r>
        <w:rPr>
          <w:rFonts w:hint="eastAsia"/>
          <w:u w:val="single"/>
          <w:lang w:eastAsia="zh-CN"/>
        </w:rPr>
        <w:t>、</w:t>
      </w:r>
      <w:r>
        <w:rPr>
          <w:rFonts w:hint="eastAsia"/>
          <w:u w:val="single"/>
          <w:lang w:val="en-US" w:eastAsia="zh-CN"/>
        </w:rPr>
        <w:t>检测报告（2）出厂合格证</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产品质量保证书</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货运清单</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）要求资料随货物一并到达。</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2"/>
    </w:p>
    <w:p w14:paraId="205320D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3、甲方如发现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的品种、型号、规格和数量等不符合规定和合同约定的，乙方在接到甲方异议后，应在</w:t>
      </w:r>
      <w:permStart w:id="1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日内按照甲方要求负责处理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，逾期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视为同意甲方提出的异议和处理意见，甲方有权自行处理收到的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或重新进行采购，造成的损失由乙方自行承担。</w:t>
      </w:r>
    </w:p>
    <w:p w14:paraId="180B060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4、验收方式</w:t>
      </w:r>
      <w:permStart w:id="14" w:edGrp="everyone"/>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依据</w:t>
      </w:r>
      <w:r>
        <w:rPr>
          <w:rFonts w:hint="eastAsia" w:asciiTheme="minorEastAsia" w:hAnsiTheme="minorEastAsia" w:eastAsiaTheme="minorEastAsia" w:cstheme="minorEastAsia"/>
          <w:color w:val="FF0000"/>
          <w:sz w:val="24"/>
          <w:szCs w:val="24"/>
          <w:highlight w:val="none"/>
          <w:u w:val="single"/>
          <w:lang w:val="en-US" w:eastAsia="zh-CN"/>
        </w:rPr>
        <w:t>甲方</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《招标文件》技术要求、相关规范标准和图纸进行验收，货物运抵甲方指定地点后甲方组织验收，验收时有不符合约定的，有权拒收，由此造成的延期交货等一切损失和法律责任全部由乙方承担。   </w:t>
      </w:r>
      <w:permEnd w:id="14"/>
    </w:p>
    <w:p w14:paraId="3C79BA5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验收如发生争议，由</w:t>
      </w:r>
      <w:permStart w:id="15" w:edGrp="everyone"/>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strike w:val="0"/>
          <w:dstrike w:val="0"/>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strike w:val="0"/>
          <w:dstrike w:val="0"/>
          <w:color w:val="000000" w:themeColor="text1"/>
          <w:sz w:val="24"/>
          <w:szCs w:val="24"/>
          <w:highlight w:val="none"/>
          <w:u w:val="single"/>
          <w:lang w:val="en-US" w:eastAsia="zh-CN"/>
          <w14:textFill>
            <w14:solidFill>
              <w14:schemeClr w14:val="tx1"/>
            </w14:solidFill>
          </w14:textFill>
        </w:rPr>
        <w:t>甲方委托有资质的</w:t>
      </w:r>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permEnd w:id="15"/>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检验机构对产品进行检验。</w:t>
      </w:r>
    </w:p>
    <w:p w14:paraId="021138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首次委外检测费用由乙方承担，若双方对后续检测结果有异议，再次委外检测结果不合格，检测费用由乙方承担，检测结果合格，检测费用由甲方承担。</w:t>
      </w:r>
    </w:p>
    <w:p w14:paraId="760E341E">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甲方指定</w:t>
      </w:r>
      <w:permStart w:id="16"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王灵灵</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6"/>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负责货物的验收、签认；乙方指定</w:t>
      </w:r>
      <w:permStart w:id="17"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（身份证号：</w:t>
      </w:r>
      <w:permStart w:id="1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，联系方式</w:t>
      </w:r>
      <w:permStart w:id="1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负责货物的交验、签认。甲方指定的上述人员是甲方唯一的收货代表，其在乙方送货清单上签字，作为乙方货物已到现场的证明，指定人员以外其他人员的验收、签认，对另一方不发生效力。一方指定人员发生变化时，应当及时告知对方，并自书面通知到达对方时产生效力。送货清单（或相应票据）中事先印刷的相关备注文字内容不构成合同文件的组成部分。</w:t>
      </w:r>
    </w:p>
    <w:p w14:paraId="5D8DF709">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甲方对货物的验收，并不视为免除乙方对产品质量和技术应负的责任。 </w:t>
      </w:r>
    </w:p>
    <w:p w14:paraId="5D9BDE8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应</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性能指标满足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建设单位</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、质检部门、监理以及项目部要求，甲方对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质量可随时提出异议和处理意见。因</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质量原因造成工程质量、工期延误、停工或其它损失的，由乙方承担一切经济赔偿。</w:t>
      </w:r>
    </w:p>
    <w:p w14:paraId="047170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质保期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期限及起算时间：</w:t>
      </w:r>
      <w:permStart w:id="2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货物送达至甲方指定地点</w:t>
      </w:r>
      <w:r>
        <w:rPr>
          <w:spacing w:val="-1"/>
          <w:sz w:val="24"/>
          <w:szCs w:val="24"/>
          <w:u w:val="single" w:color="auto"/>
        </w:rPr>
        <w:t>验收合格之日起</w:t>
      </w:r>
      <w:r>
        <w:rPr>
          <w:spacing w:val="-30"/>
          <w:sz w:val="24"/>
          <w:szCs w:val="24"/>
          <w:u w:val="single" w:color="auto"/>
        </w:rPr>
        <w:t xml:space="preserve"> </w:t>
      </w:r>
      <w:r>
        <w:rPr>
          <w:rFonts w:hint="eastAsia"/>
          <w:spacing w:val="-30"/>
          <w:sz w:val="24"/>
          <w:szCs w:val="24"/>
          <w:u w:val="single" w:color="auto"/>
          <w:lang w:val="en-US" w:eastAsia="zh-CN"/>
        </w:rPr>
        <w:t>12个月</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 xml:space="preserve">  </w:t>
      </w:r>
      <w:permEnd w:id="20"/>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如果乙方对货物有另外承诺的质保期且与本合同约定不一致的，双方同意以期限较长的为准。</w:t>
      </w:r>
    </w:p>
    <w:p w14:paraId="7E9AD91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第四条</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数量、</w:t>
      </w:r>
      <w:r>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t>计量单位、计量方法</w:t>
      </w:r>
    </w:p>
    <w:p w14:paraId="7CB0608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数量为暂定量，甲方可根据实际需要进行数量增减。甲方减少数量的，不属于违约；甲方增加数量的，乙方应按合同其他条款执行。</w:t>
      </w:r>
    </w:p>
    <w:p w14:paraId="7B5DC08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计量单位和方法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ermStart w:id="21"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经验收合格的工程量作为有效工程量进行计量  </w:t>
      </w:r>
      <w:permEnd w:id="21"/>
    </w:p>
    <w:p w14:paraId="4A8035A0">
      <w:pPr>
        <w:pageBreakBefore w:val="0"/>
        <w:kinsoku/>
        <w:wordWrap/>
        <w:overflowPunct/>
        <w:topLinePunct w:val="0"/>
        <w:autoSpaceDE/>
        <w:autoSpaceDN/>
        <w:bidi w:val="0"/>
        <w:adjustRightInd w:val="0"/>
        <w:snapToGrid w:val="0"/>
        <w:spacing w:line="360" w:lineRule="auto"/>
        <w:ind w:firstLine="484" w:firstLineChars="202"/>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交货数量的正负尾差、合理磅差和在途自然增（减）量规定及计算方法</w:t>
      </w:r>
      <w:permStart w:id="2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p>
    <w:permEnd w:id="22"/>
    <w:p w14:paraId="6BCA78FB">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履约担保</w:t>
      </w:r>
    </w:p>
    <w:p w14:paraId="46883BF7">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履约担保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选择以下第</w:t>
      </w:r>
      <w:permStart w:id="23"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__</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w:t>
      </w:r>
      <w:permEnd w:id="2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种方式：</w:t>
      </w:r>
    </w:p>
    <w:p w14:paraId="71B4F910">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于签订本合同前向甲方缴纳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4"/>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现金</w:t>
      </w:r>
      <w:permStart w:id="2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5"/>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5D423BEE">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6"/>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无条件见索即付</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银行保函。</w:t>
      </w:r>
    </w:p>
    <w:p w14:paraId="0A3BF1A6">
      <w:pPr>
        <w:pStyle w:val="3"/>
        <w:keepNext w:val="0"/>
        <w:keepLines w:val="0"/>
        <w:pageBreakBefore w:val="0"/>
        <w:kinsoku/>
        <w:wordWrap/>
        <w:overflowPunct/>
        <w:topLinePunct w:val="0"/>
        <w:autoSpaceDE/>
        <w:autoSpaceDN/>
        <w:bidi w:val="0"/>
        <w:adjustRightInd w:val="0"/>
        <w:snapToGrid w:val="0"/>
        <w:spacing w:line="360" w:lineRule="auto"/>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）其他方式：</w:t>
      </w:r>
      <w:permStart w:id="2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
    <w:permEnd w:id="27"/>
    <w:p w14:paraId="6E7A2B49">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履约</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担保期限及退还：</w:t>
      </w:r>
      <w:permStart w:id="2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szCs w:val="24"/>
          <w:u w:val="single"/>
          <w:lang w:val="en-US" w:eastAsia="zh-CN"/>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28"/>
    <w:p w14:paraId="57556555">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履约担保有效期不得早于合同约定的履约截止日期，若乙方在履约担保有效期内无法履约完成，乙方须在履约期限届满前向甲方提供新的履约担保或延长原履约担保的有效期至实际履约完成之日，由此增加的费用由乙方承担。</w:t>
      </w:r>
    </w:p>
    <w:p w14:paraId="2912073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第六条</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预付款</w:t>
      </w:r>
    </w:p>
    <w:p w14:paraId="7E6C531D">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本合同预付款选择第</w:t>
      </w:r>
      <w:permStart w:id="2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  </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种</w:t>
      </w:r>
      <w:permEnd w:id="29"/>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方式：</w:t>
      </w:r>
    </w:p>
    <w:p w14:paraId="71C41696">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无</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28330D3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bCs/>
          <w:color w:val="000000" w:themeColor="text1"/>
          <w:sz w:val="24"/>
          <w:szCs w:val="24"/>
          <w:highlight w:val="none"/>
          <w:u w:val="singl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）本合同有预付款，</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permStart w:id="3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元。甲方支付预付款前</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permStart w:id="3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3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银行出具的等额无条件见索即付银行保函</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，否则视为未约定预付款，甲方有权不予支付。银行保函正本由甲方保存，开具银行保函所需的费用由乙方承担。</w:t>
      </w:r>
    </w:p>
    <w:p w14:paraId="6542DEB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textAlignment w:val="auto"/>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运输及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交货</w:t>
      </w:r>
      <w:bookmarkStart w:id="0" w:name="_GoBack"/>
      <w:bookmarkEnd w:id="0"/>
    </w:p>
    <w:p w14:paraId="33DA13E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1、交货时间：</w:t>
      </w:r>
      <w:permStart w:id="32"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宋体" w:hAnsi="宋体" w:cs="宋体"/>
          <w:sz w:val="24"/>
          <w:szCs w:val="24"/>
          <w:u w:val="single"/>
          <w:lang w:val="en-US" w:eastAsia="zh-CN"/>
        </w:rPr>
        <w:t>合同签订后</w:t>
      </w:r>
      <w:r>
        <w:rPr>
          <w:rFonts w:hint="eastAsia" w:cs="宋体"/>
          <w:sz w:val="24"/>
          <w:szCs w:val="24"/>
          <w:u w:val="single"/>
          <w:lang w:val="en-US" w:eastAsia="zh-CN"/>
        </w:rPr>
        <w:t>50</w:t>
      </w:r>
      <w:r>
        <w:rPr>
          <w:rFonts w:hint="eastAsia" w:ascii="宋体" w:hAnsi="宋体" w:cs="宋体"/>
          <w:color w:val="000000"/>
          <w:spacing w:val="0"/>
          <w:sz w:val="22"/>
          <w:szCs w:val="22"/>
          <w:highlight w:val="none"/>
          <w:u w:val="single"/>
          <w:shd w:val="clear" w:fill="FFFFFF"/>
          <w:lang w:val="en-US" w:eastAsia="zh-CN"/>
        </w:rPr>
        <w:t>天</w:t>
      </w:r>
      <w:r>
        <w:rPr>
          <w:rFonts w:hint="eastAsia" w:ascii="宋体" w:hAnsi="宋体" w:eastAsia="宋体" w:cs="宋体"/>
          <w:color w:val="000000"/>
          <w:spacing w:val="0"/>
          <w:sz w:val="22"/>
          <w:szCs w:val="22"/>
          <w:highlight w:val="none"/>
          <w:u w:val="single"/>
          <w:shd w:val="clear" w:fill="FFFFFF"/>
          <w:lang w:val="en-US" w:eastAsia="zh-CN"/>
        </w:rPr>
        <w:t>内到货</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2"/>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
    <w:p w14:paraId="1CB651C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2、交货地点：</w:t>
      </w:r>
      <w:permStart w:id="3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宋体" w:hAnsi="宋体"/>
          <w:u w:val="single"/>
        </w:rPr>
        <w:t>安徽省蚌埠市禹会路与高新路交叉口向西100米安徽水利工业园</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3"/>
    </w:p>
    <w:p w14:paraId="1C25D9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运输方式及运费、卸车费：</w:t>
      </w:r>
      <w:permStart w:id="3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乙方负责运输并承担所有费用（含保险费）</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卸车费  </w:t>
      </w:r>
      <w:permEnd w:id="34"/>
    </w:p>
    <w:p w14:paraId="7DB90170">
      <w:pPr>
        <w:pStyle w:val="9"/>
        <w:keepNext w:val="0"/>
        <w:keepLines w:val="0"/>
        <w:pageBreakBefore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4、交货风险：货物在交付甲方验收合格前的毁损、灭失等一切风险由乙方承担。</w:t>
      </w:r>
    </w:p>
    <w:p w14:paraId="096A870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货物附随单证的转移：</w:t>
      </w:r>
      <w:permStart w:id="3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货物进场，质量证明书、材质证明文件、试验检测报告等证明产品质量的资料应随车进场，或专人携带随车进场。  </w:t>
      </w:r>
      <w:permEnd w:id="35"/>
    </w:p>
    <w:p w14:paraId="2F7DC343">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八</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包装</w:t>
      </w:r>
    </w:p>
    <w:p w14:paraId="3B71B013">
      <w:pPr>
        <w:keepNext w:val="0"/>
        <w:keepLines w:val="0"/>
        <w:pageBreakBefore w:val="0"/>
        <w:kinsoku/>
        <w:wordWrap/>
        <w:overflowPunct/>
        <w:topLinePunct w:val="0"/>
        <w:autoSpaceDE/>
        <w:autoSpaceDN/>
        <w:bidi w:val="0"/>
        <w:adjustRightInd w:val="0"/>
        <w:snapToGrid w:val="0"/>
        <w:spacing w:line="360" w:lineRule="auto"/>
        <w:ind w:left="0" w:leftChars="0" w:right="0" w:rightChars="0"/>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乙方提供的全部货物，均应采用国家或专业标准保护措施进行包装，使包装应适应于海运、空运、陆上长距离运输，并有良好的防潮、防震、防锈和防粗暴装卸等保护措施，确保货物安全无损运抵现场。由于包装不善所引起的货物锈蚀、损坏和损失造成的后果均由乙方承担。</w:t>
      </w:r>
    </w:p>
    <w:p w14:paraId="557C492F">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价格及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货款结算</w:t>
      </w:r>
    </w:p>
    <w:p w14:paraId="0BA8E1C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8" w:firstLineChars="200"/>
        <w:textAlignment w:val="baseline"/>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1、单价为</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运送至甲方指定地点的综合价格，包括但不限于乙方成本、利润、税费、专利许可使用费、售后服务等为履行本合同义务所需的一切费用及承担的风险。</w:t>
      </w:r>
    </w:p>
    <w:p w14:paraId="79AA49ED">
      <w:pPr>
        <w:pageBreakBefore w:val="0"/>
        <w:kinsoku/>
        <w:wordWrap/>
        <w:overflowPunct/>
        <w:topLinePunct w:val="0"/>
        <w:autoSpaceDE/>
        <w:autoSpaceDN/>
        <w:bidi w:val="0"/>
        <w:adjustRightInd w:val="0"/>
        <w:snapToGrid w:val="0"/>
        <w:spacing w:line="360" w:lineRule="auto"/>
        <w:ind w:firstLine="448"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单价在合同履行期限内</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范围、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调整方式为：</w:t>
      </w:r>
      <w:permStart w:id="3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单价承包，合同签订后价格不予调整。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permEnd w:id="3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6C5C0A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过程结算：</w:t>
      </w:r>
      <w:permStart w:id="3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37"/>
    </w:p>
    <w:p w14:paraId="1A8B1F05">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4、终期结算：</w:t>
      </w:r>
      <w:permStart w:id="3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spacing w:val="-1"/>
          <w:sz w:val="24"/>
          <w:szCs w:val="24"/>
          <w:u w:val="single" w:color="auto"/>
        </w:rPr>
        <w:t>验收合格后以实际货物进场量进行结算</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38"/>
    <w:p w14:paraId="67CBC54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办理</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，甲方对包含在合同价款中但实际由甲方提供或代付的费用，应扣除的超损耗费用、违约金、赔偿费用、罚款等一并扣除。</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甲方未及时扣除的，不视为对乙方权利的放弃。</w:t>
      </w:r>
    </w:p>
    <w:p w14:paraId="1EB3D40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right="0" w:rightChars="0"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最终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双方办理封账手续，签订封账协议。若乙方未按约定的期限</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递交终期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结算资料，以甲方核定的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结果</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进行封账。</w:t>
      </w:r>
    </w:p>
    <w:p w14:paraId="4419D081">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7、质量保证金的扣留选择以下第</w:t>
      </w:r>
      <w:permStart w:id="39"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2  </w:t>
      </w:r>
      <w:permEnd w:id="39"/>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种方式。</w:t>
      </w:r>
    </w:p>
    <w:p w14:paraId="64C4998A">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（1）每期结算（过程结算）时应扣留结算价款的</w:t>
      </w:r>
      <w:permStart w:id="40"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  </w:t>
      </w:r>
      <w:permEnd w:id="40"/>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09765AB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（2）终期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结算时一次性扣留结算总价款的</w:t>
      </w:r>
      <w:permStart w:id="41"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5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4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1A2E280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（3）无质量保证金。</w:t>
      </w:r>
    </w:p>
    <w:p w14:paraId="313CF6C5">
      <w:pPr>
        <w:pageBreakBefore w:val="0"/>
        <w:kinsoku/>
        <w:wordWrap/>
        <w:overflowPunct/>
        <w:topLinePunct w:val="0"/>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质量保证金退还方式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、期限及标准</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permStart w:id="4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进场验收合格起一年内，甲方扣除应由乙方承担的保修费用、违约金等费用后，无息向乙方付清。 </w:t>
      </w:r>
      <w:permEnd w:id="42"/>
    </w:p>
    <w:p w14:paraId="18472489">
      <w:pPr>
        <w:pStyle w:val="6"/>
        <w:keepNext w:val="0"/>
        <w:keepLines w:val="0"/>
        <w:pageBreakBefore w:val="0"/>
        <w:widowControl w:val="0"/>
        <w:kinsoku/>
        <w:wordWrap/>
        <w:overflowPunct/>
        <w:topLinePunct w:val="0"/>
        <w:autoSpaceDE/>
        <w:autoSpaceDN/>
        <w:bidi w:val="0"/>
        <w:adjustRightInd w:val="0"/>
        <w:snapToGrid w:val="0"/>
        <w:spacing w:line="360" w:lineRule="auto"/>
        <w:ind w:right="0" w:rightChars="0"/>
        <w:rPr>
          <w:rFonts w:hint="default"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特别</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约</w:t>
      </w:r>
      <w:r>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t>定：</w:t>
      </w:r>
      <w:permStart w:id="43" w:edGrp="everyone"/>
      <w:r>
        <w:rPr>
          <w:rFonts w:hint="eastAsia"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t xml:space="preserve">   / </w:t>
      </w:r>
    </w:p>
    <w:p w14:paraId="026F3A7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pPr>
      <w:r>
        <w:rPr>
          <w:rFonts w:hint="eastAsia" w:hAnsi="宋体" w:eastAsia="宋体" w:cs="宋体"/>
          <w:color w:val="000000"/>
          <w:kern w:val="2"/>
          <w:sz w:val="24"/>
          <w:szCs w:val="24"/>
          <w:highlight w:val="none"/>
          <w:u w:val="single"/>
          <w:lang w:val="en-US" w:eastAsia="zh-CN" w:bidi="ar-SA"/>
        </w:rPr>
        <w:t>。</w:t>
      </w:r>
      <w:permEnd w:id="43"/>
    </w:p>
    <w:p w14:paraId="21B13B1D">
      <w:pPr>
        <w:pStyle w:val="6"/>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货款支付</w:t>
      </w:r>
    </w:p>
    <w:p w14:paraId="08CCB6C9">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1、过程</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spacing w:val="0"/>
          <w:sz w:val="22"/>
          <w:szCs w:val="22"/>
          <w:u w:val="single"/>
          <w:shd w:val="clear" w:fill="FFFFFF"/>
          <w:lang w:val="en-US" w:eastAsia="zh-CN"/>
        </w:rPr>
        <w:t>货物送到甲方制定地点验收合格并提供增值税发票（税率13%）后15个工作日内付至结算</w:t>
      </w:r>
      <w:r>
        <w:rPr>
          <w:rFonts w:hint="eastAsia" w:cs="宋体"/>
          <w:color w:val="000000"/>
          <w:spacing w:val="0"/>
          <w:sz w:val="22"/>
          <w:szCs w:val="22"/>
          <w:u w:val="single"/>
          <w:shd w:val="clear" w:fill="FFFFFF"/>
          <w:lang w:val="en-US" w:eastAsia="zh-CN"/>
        </w:rPr>
        <w:t>价</w:t>
      </w:r>
      <w:r>
        <w:rPr>
          <w:rFonts w:hint="eastAsia" w:ascii="宋体" w:hAnsi="宋体" w:cs="宋体"/>
          <w:color w:val="000000"/>
          <w:spacing w:val="0"/>
          <w:sz w:val="22"/>
          <w:szCs w:val="22"/>
          <w:u w:val="single"/>
          <w:shd w:val="clear" w:fill="FFFFFF"/>
          <w:lang w:val="en-US" w:eastAsia="zh-CN"/>
        </w:rPr>
        <w:t>的95%</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4"/>
    </w:p>
    <w:p w14:paraId="604FA4E5">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spacing w:val="0"/>
          <w:sz w:val="22"/>
          <w:szCs w:val="22"/>
          <w:u w:val="single"/>
          <w:shd w:val="clear" w:fill="FFFFFF"/>
          <w:lang w:val="en-US" w:eastAsia="zh-CN"/>
        </w:rPr>
        <w:t>余下5%作为质保金，待质保期（自验收合格之日起一年）满后，15个工作日内一次性付清。</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5"/>
    </w:p>
    <w:p w14:paraId="3B5EBEAB">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双方约定的支付方式：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甲方可以选用</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银行转账</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、票据、安信等其中任一或组合方式支付</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。甲方采用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付款的，贴息费用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由</w:t>
      </w:r>
      <w:permStart w:id="46"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乙方  </w:t>
      </w:r>
      <w:permEnd w:id="46"/>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承</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担。</w:t>
      </w:r>
    </w:p>
    <w:p w14:paraId="226FE43A">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乙方账户信息如下：</w:t>
      </w:r>
    </w:p>
    <w:p w14:paraId="1B2B84A6">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开户名称：</w:t>
      </w:r>
      <w:permStart w:id="47"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2ADF80F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 户 行：</w:t>
      </w:r>
      <w:permStart w:id="48"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EC5C08D">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账    号：</w:t>
      </w:r>
      <w:permStart w:id="4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49"/>
    <w:p w14:paraId="7421F551">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双方特别约定：遵循“先开票、后付款”的原则，甲方支付前，乙方应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按</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金额向甲方提供增值税专用发票，甲方收到乙方发票后，按合同约定向乙方付款。</w:t>
      </w:r>
      <w:r>
        <w:rPr>
          <w:rFonts w:hint="eastAsia" w:asciiTheme="minorEastAsia" w:hAnsiTheme="minorEastAsia" w:eastAsiaTheme="minorEastAsia" w:cstheme="minorEastAsia"/>
          <w:color w:val="auto"/>
          <w:sz w:val="24"/>
          <w:szCs w:val="24"/>
          <w:highlight w:val="none"/>
          <w:lang w:eastAsia="zh-CN"/>
        </w:rPr>
        <w:t>乙方未提供合法合规发票，甲方有权拒绝付款。</w:t>
      </w:r>
    </w:p>
    <w:p w14:paraId="1F4942CE">
      <w:pPr>
        <w:pStyle w:val="4"/>
        <w:spacing w:line="360" w:lineRule="auto"/>
        <w:ind w:firstLine="480" w:firstLineChars="200"/>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如甲方出现资金困难，乙方同意给予</w:t>
      </w:r>
      <w:permStart w:id="50" w:edGrp="everyone"/>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6   </w:t>
      </w:r>
      <w:permEnd w:id="50"/>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个月的付款宽限期，宽限期间内不视为甲方违约。宽限期过后，仍未按照本合同约定向乙方支付合同价款的（乙方未履行向甲方开具增值税专用发票等合同约定的义务除外），甲方向乙方支付逾期利息。计算方式按一年期贷款市场报价利率（LPR）计算，计算的基数以甲方最后一笔付款时剩余应付款金额为准，不包括前期逾期但现已支付部分的结算价款。由此产生的诉讼费、律师费、保全费等相关费用及资金成本乙方在合同单价中已综合考虑，不另行计取。</w:t>
      </w:r>
    </w:p>
    <w:p w14:paraId="672335DB">
      <w:pPr>
        <w:pStyle w:val="6"/>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kern w:val="0"/>
          <w:sz w:val="24"/>
          <w:szCs w:val="24"/>
          <w:highlight w:val="none"/>
          <w:lang w:eastAsia="zh-CN"/>
          <w14:textFill>
            <w14:solidFill>
              <w14:schemeClr w14:val="tx1"/>
            </w14:solidFill>
          </w14:textFill>
        </w:rPr>
        <w:t>第十一条</w:t>
      </w:r>
      <w:r>
        <w:rPr>
          <w:rFonts w:hint="eastAsia" w:asciiTheme="minorEastAsia" w:hAnsiTheme="minorEastAsia" w:eastAsiaTheme="minorEastAsia" w:cstheme="minorEastAsia"/>
          <w:bCs/>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税票要求</w:t>
      </w:r>
    </w:p>
    <w:p w14:paraId="401B0208">
      <w:pPr>
        <w:pStyle w:val="6"/>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乙方提供的发票出现税务问题时，甲方拒绝接受，同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乙方应承担赔偿责任，包括但不限于税款、滞纳金、罚款等行政损失。</w:t>
      </w:r>
    </w:p>
    <w:p w14:paraId="0BA966A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乙方与企业的业务涉及税务调查，乙方必须履行通知义务，并且有义务配合。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乙方开具的票据必须是由乙方从其发票主管税务机关购领或经其主管税务机关批准自印或监制的发票；乙方必须按照</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结算金额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具票据并提供给甲方；乙方必须保证提供给甲方的发票的票面数据与乙方缴销税务机关和乙方留存的发票存根联填列数据相符；因乙方提供的发票不符合税务部门的要求，导致甲方从乙方取得增值税专用发票不能报验抵扣进项税金，或虽可通过报验但报验后被税务机关以“比对不符”或“失控发票”等事由追缴税款，而给甲方造成的经济损失，由乙方负责赔偿。</w:t>
      </w:r>
    </w:p>
    <w:p w14:paraId="7CBA990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增值税发票丢失、灭失或被盗，乙方应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在</w:t>
      </w:r>
      <w:permStart w:id="5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14  </w:t>
      </w:r>
      <w:permEnd w:id="51"/>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日内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补办。否则，由此造成的经济损失由乙方负责。</w:t>
      </w:r>
    </w:p>
    <w:p w14:paraId="58FF4E65">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十二</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安全、环保条款</w:t>
      </w:r>
    </w:p>
    <w:p w14:paraId="4003F29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1、乙方车辆、人员进入甲方施工现场必须注意安全，遵守安全规则，听从甲方管理人员指挥。乙方人员必须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采取</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安全防护措施，因违章或不遵守甲方项目部规定等造成的一切事故和损失由乙方自行负责。</w:t>
      </w:r>
    </w:p>
    <w:p w14:paraId="71C34F4D">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2、乙方提供的货物必须符合国家相关环保要求，应确保送货车辆进入或驶出工地时应避免遗撒、噪音过大、随意丢弃包装物料及废物等。如因乙方原因导致环境污染，应赔偿甲方及第三方的经济损失。</w:t>
      </w:r>
    </w:p>
    <w:p w14:paraId="18A90F13">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3、乙方应确保运输途中的交通安全，货物在交付甲方验收合格前，因乙方和（或）货物质量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等</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原因对第三人造成的人身和（或）财产损坏，由乙方承担赔偿责任。</w:t>
      </w:r>
    </w:p>
    <w:p w14:paraId="76252746">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乙方的违约责任</w:t>
      </w:r>
    </w:p>
    <w:p w14:paraId="263DB78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1、乙方逾期交付货物，应向甲方支付</w:t>
      </w:r>
      <w:permStart w:id="52"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2000  </w:t>
      </w:r>
      <w:permEnd w:id="52"/>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元/天的违约金。逾期交付超过</w:t>
      </w:r>
      <w:permStart w:id="53"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7  </w:t>
      </w:r>
      <w:permEnd w:id="53"/>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天，甲方有权解除合同并没收履约保证金</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有权向第三人采购同种类货物，因此增加的费用由乙方承担。</w:t>
      </w:r>
    </w:p>
    <w:p w14:paraId="4C2DB48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2、乙方提前交付货物的，甲方无需提前付款，如因乙方提前交付货物导致甲方增加费用的，该增加的费用由乙方承担。</w:t>
      </w:r>
    </w:p>
    <w:p w14:paraId="719F6BDE">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3、乙方交付的货物不符合合同规定，甲方有权拒收，乙方需向甲方支付货款总金额</w:t>
      </w:r>
      <w:permStart w:id="54"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10  </w:t>
      </w:r>
      <w:permEnd w:id="54"/>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%的违约金。甲方同意更换的，乙方在征得甲方同意的时间内未能调换的，按逾期交货的违约责任处理。</w:t>
      </w:r>
    </w:p>
    <w:p w14:paraId="314AB1A7">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4、乙方未按本合同规定的数量交货时，少交的部分，甲方如果需要，应照数补齐，否则乙方应承担不能交货部分货款总值的</w:t>
      </w:r>
      <w:permStart w:id="55"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5  </w:t>
      </w:r>
      <w:permEnd w:id="55"/>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%的违约金并赔偿甲方损失，甲方如不需要，按实际供货量结算。</w:t>
      </w:r>
    </w:p>
    <w:p w14:paraId="1959ABA6">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color w:val="000000" w:themeColor="text1"/>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5、在质保期内，乙方未按甲方要求进行维修或更换的，应向甲方支付违约</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金</w:t>
      </w:r>
      <w:permStart w:id="5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2000 </w:t>
      </w:r>
      <w:permEnd w:id="5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次，甲方有权交由第三方进行维修，由此产生的费用和损失亦由乙方承担。因货物质量原因造成甲方损失的，乙方还应承担赔偿责任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甲方可以自行组织清场并从乙方结算款中扣除清理费用。</w:t>
      </w:r>
    </w:p>
    <w:p w14:paraId="02F5373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6、乙方保证提供的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、服务不侵犯任何第三方知识产权和其他任何权利。任何第三方提出侵权指控时，乙方负责与第三方交涉并承担一切可能发生的经济上、法律上的责任，由此给甲方带来损失的，乙方无条件予以赔偿。</w:t>
      </w:r>
    </w:p>
    <w:p w14:paraId="7ACE528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7、如乙方被甲方及关联企业、安徽建工集团列入“限制交易供应商名单”“不合格供应商名单”或“供应商限制交易名单”等，甲方可以单方解除合同并没收履约保证金，解除合同的一切后果由乙方承担。</w:t>
      </w:r>
    </w:p>
    <w:p w14:paraId="39577191">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eastAsia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宋体" w:hAnsi="宋体" w:cs="宋体"/>
          <w:color w:val="000000" w:themeColor="text1"/>
          <w:kern w:val="0"/>
          <w:sz w:val="24"/>
          <w:szCs w:val="24"/>
          <w:highlight w:val="none"/>
          <w:lang w:val="zh-CN"/>
          <w14:textFill>
            <w14:solidFill>
              <w14:schemeClr w14:val="tx1"/>
            </w14:solidFill>
          </w14:textFill>
        </w:rPr>
        <w:t>乙方其他违约责任：</w:t>
      </w:r>
      <w:permStart w:id="57" w:edGrp="everyone"/>
      <w:r>
        <w:rPr>
          <w:rFonts w:hint="eastAsia" w:ascii="宋体" w:hAnsi="宋体" w:cs="宋体"/>
          <w:color w:val="000000" w:themeColor="text1"/>
          <w:kern w:val="0"/>
          <w:sz w:val="24"/>
          <w:szCs w:val="24"/>
          <w:highlight w:val="none"/>
          <w:u w:val="single"/>
          <w:lang w:val="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57"/>
    </w:p>
    <w:p w14:paraId="3C31F61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四</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合同解除</w:t>
      </w:r>
    </w:p>
    <w:p w14:paraId="437A2AB3">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1、乙方不按合同约定履行义务，甲方可依据本合同或视情况严重程度单方解除合同并没收乙方履约保证金。</w:t>
      </w:r>
    </w:p>
    <w:p w14:paraId="5BEAE35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2、合同解除后的处理</w:t>
      </w:r>
    </w:p>
    <w:p w14:paraId="0CE716B9">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(1）甲方暂停对乙方的一切付款，乙方在收到解除通知书7个工作日内主动与甲方办理财务对账等事项。解除合同通知书自送达乙方之日起生效。</w:t>
      </w:r>
    </w:p>
    <w:p w14:paraId="637B2434">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（2）逾期未与甲方办理财务对账等事项，以甲方认定的结果作为唯一结算依据。</w:t>
      </w:r>
    </w:p>
    <w:p w14:paraId="614821BD">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（3）不免除乙方对已供货物的质量保修、人身损害、环境污染等经济责任。</w:t>
      </w:r>
    </w:p>
    <w:p w14:paraId="4807486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不可抗力</w:t>
      </w:r>
    </w:p>
    <w:p w14:paraId="6FC205A4">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不可抗力是指合同当事人在签订合同时不能预见，在合同履行过程中不能避免且不能克服的自然灾害和社会性突发事件，如台风、泥石流、洪水、山体滑坡、地震、海啸、流行疾病、骚乱、戒严、暴动、战争等。</w:t>
      </w:r>
    </w:p>
    <w:p w14:paraId="0ECD37D9">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2、不可抗力发生后，乙方应采取措施尽量避免和减少损失的扩大，乙方没有采取有效措施导致损失扩大的，应对扩大的损失承担责任。</w:t>
      </w:r>
    </w:p>
    <w:p w14:paraId="32AE7F48">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3、不可抗力发生后，甲乙双方应收集证据证明不可抗力发生及不可抗力造成损失，并及时认真统计所造成的损失。</w:t>
      </w:r>
    </w:p>
    <w:p w14:paraId="0B9A2331">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4、因乙方迟延履行合同义务，在迟延履行期间遭遇不可抗力的，不免除其违约责任。</w:t>
      </w:r>
    </w:p>
    <w:p w14:paraId="31DDE530">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六</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合同文件及解释顺序</w:t>
      </w:r>
    </w:p>
    <w:p w14:paraId="530A9CA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合同执行过程中形成的通知、</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函件、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会议纪要、补充协议等，业主、监理工程师、甲方的指令、文件等，招投标文件均为本合同的有效组成部分，与本合同具有同样法律效力。解释的顺序以文件生成时间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后为准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属于同一类内容的文件以最新签署的为准。</w:t>
      </w:r>
    </w:p>
    <w:p w14:paraId="71A88886">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解决纠纷的方式</w:t>
      </w:r>
    </w:p>
    <w:p w14:paraId="1393341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双方</w:t>
      </w:r>
      <w:r>
        <w:rPr>
          <w:rFonts w:hint="eastAsia" w:ascii="宋体" w:hAnsi="宋体" w:eastAsia="宋体" w:cs="宋体"/>
          <w:color w:val="000000" w:themeColor="text1"/>
          <w:sz w:val="24"/>
          <w:szCs w:val="24"/>
          <w:highlight w:val="none"/>
          <w:lang w:eastAsia="zh-CN"/>
          <w14:textFill>
            <w14:solidFill>
              <w14:schemeClr w14:val="tx1"/>
            </w14:solidFill>
          </w14:textFill>
        </w:rPr>
        <w:t>因</w:t>
      </w:r>
      <w:r>
        <w:rPr>
          <w:rFonts w:hint="eastAsia" w:ascii="宋体" w:hAnsi="宋体" w:cs="宋体"/>
          <w:color w:val="000000" w:themeColor="text1"/>
          <w:sz w:val="24"/>
          <w:szCs w:val="24"/>
          <w:highlight w:val="none"/>
          <w:lang w:val="en-US" w:eastAsia="zh-CN"/>
          <w14:textFill>
            <w14:solidFill>
              <w14:schemeClr w14:val="tx1"/>
            </w14:solidFill>
          </w14:textFill>
        </w:rPr>
        <w:t>本</w:t>
      </w:r>
      <w:r>
        <w:rPr>
          <w:rFonts w:hint="eastAsia" w:ascii="宋体" w:hAnsi="宋体" w:eastAsia="宋体" w:cs="宋体"/>
          <w:color w:val="000000" w:themeColor="text1"/>
          <w:sz w:val="24"/>
          <w:szCs w:val="24"/>
          <w:highlight w:val="none"/>
          <w:lang w:eastAsia="zh-CN"/>
          <w14:textFill>
            <w14:solidFill>
              <w14:schemeClr w14:val="tx1"/>
            </w14:solidFill>
          </w14:textFill>
        </w:rPr>
        <w:t>合同或</w:t>
      </w:r>
      <w:r>
        <w:rPr>
          <w:rFonts w:hint="eastAsia" w:ascii="宋体" w:hAnsi="宋体" w:cs="宋体"/>
          <w:color w:val="000000" w:themeColor="text1"/>
          <w:sz w:val="24"/>
          <w:szCs w:val="24"/>
          <w:highlight w:val="none"/>
          <w:lang w:val="en-US" w:eastAsia="zh-CN"/>
          <w14:textFill>
            <w14:solidFill>
              <w14:schemeClr w14:val="tx1"/>
            </w14:solidFill>
          </w14:textFill>
        </w:rPr>
        <w:t>与本</w:t>
      </w:r>
      <w:r>
        <w:rPr>
          <w:rFonts w:hint="eastAsia" w:ascii="宋体" w:hAnsi="宋体" w:eastAsia="宋体" w:cs="宋体"/>
          <w:color w:val="000000" w:themeColor="text1"/>
          <w:sz w:val="24"/>
          <w:szCs w:val="24"/>
          <w:highlight w:val="none"/>
          <w:lang w:eastAsia="zh-CN"/>
          <w14:textFill>
            <w14:solidFill>
              <w14:schemeClr w14:val="tx1"/>
            </w14:solidFill>
          </w14:textFill>
        </w:rPr>
        <w:t>合同有关事项</w:t>
      </w:r>
      <w:r>
        <w:rPr>
          <w:rFonts w:hint="eastAsia" w:ascii="宋体" w:hAnsi="宋体" w:eastAsia="宋体" w:cs="宋体"/>
          <w:color w:val="000000" w:themeColor="text1"/>
          <w:sz w:val="24"/>
          <w:szCs w:val="24"/>
          <w:highlight w:val="none"/>
          <w14:textFill>
            <w14:solidFill>
              <w14:schemeClr w14:val="tx1"/>
            </w14:solidFill>
          </w14:textFill>
        </w:rPr>
        <w:t>发生争议的，</w:t>
      </w:r>
      <w:r>
        <w:rPr>
          <w:rFonts w:hint="eastAsia" w:ascii="宋体" w:hAnsi="宋体" w:eastAsia="宋体" w:cs="宋体"/>
          <w:color w:val="000000" w:themeColor="text1"/>
          <w:sz w:val="24"/>
          <w:szCs w:val="24"/>
          <w:highlight w:val="none"/>
          <w:lang w:eastAsia="zh-CN"/>
          <w14:textFill>
            <w14:solidFill>
              <w14:schemeClr w14:val="tx1"/>
            </w14:solidFill>
          </w14:textFill>
        </w:rPr>
        <w:t>可以自行和解或由第三方调解，任何一方不愿和解、调解或和解、调解不成的，</w:t>
      </w:r>
      <w:r>
        <w:rPr>
          <w:rFonts w:hint="eastAsia" w:ascii="宋体" w:hAnsi="宋体"/>
          <w:color w:val="000000" w:themeColor="text1"/>
          <w:sz w:val="24"/>
          <w:szCs w:val="24"/>
          <w:highlight w:val="none"/>
          <w14:textFill>
            <w14:solidFill>
              <w14:schemeClr w14:val="tx1"/>
            </w14:solidFill>
          </w14:textFill>
        </w:rPr>
        <w:t>选择以下第</w:t>
      </w:r>
      <w:permStart w:id="58" w:edGrp="everyone"/>
      <w:r>
        <w:rPr>
          <w:rFonts w:hint="eastAsia" w:ascii="宋体" w:hAnsi="宋体"/>
          <w:color w:val="000000" w:themeColor="text1"/>
          <w:sz w:val="24"/>
          <w:szCs w:val="24"/>
          <w:highlight w:val="none"/>
          <w14:textFill>
            <w14:solidFill>
              <w14:schemeClr w14:val="tx1"/>
            </w14:solidFill>
          </w14:textFill>
        </w:rPr>
        <w:t>__</w:t>
      </w:r>
      <w:r>
        <w:rPr>
          <w:rFonts w:hint="eastAsia"/>
          <w:color w:val="000000" w:themeColor="text1"/>
          <w:sz w:val="24"/>
          <w:szCs w:val="24"/>
          <w:highlight w:val="none"/>
          <w:lang w:val="en-US" w:eastAsia="zh-CN"/>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___</w:t>
      </w:r>
      <w:permEnd w:id="58"/>
      <w:r>
        <w:rPr>
          <w:rFonts w:hint="eastAsia" w:ascii="宋体" w:hAnsi="宋体"/>
          <w:color w:val="000000" w:themeColor="text1"/>
          <w:sz w:val="24"/>
          <w:szCs w:val="24"/>
          <w:highlight w:val="none"/>
          <w14:textFill>
            <w14:solidFill>
              <w14:schemeClr w14:val="tx1"/>
            </w14:solidFill>
          </w14:textFill>
        </w:rPr>
        <w:t>种方式</w:t>
      </w:r>
      <w:r>
        <w:rPr>
          <w:rFonts w:hint="eastAsia" w:ascii="宋体" w:hAnsi="宋体"/>
          <w:color w:val="000000" w:themeColor="text1"/>
          <w:sz w:val="24"/>
          <w:szCs w:val="24"/>
          <w:highlight w:val="none"/>
          <w:lang w:eastAsia="zh-CN"/>
          <w14:textFill>
            <w14:solidFill>
              <w14:schemeClr w14:val="tx1"/>
            </w14:solidFill>
          </w14:textFill>
        </w:rPr>
        <w:t>解决。</w:t>
      </w:r>
    </w:p>
    <w:p w14:paraId="6C0DCDD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1</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合同签订地人民</w:t>
      </w:r>
      <w:r>
        <w:rPr>
          <w:rFonts w:hint="eastAsia" w:ascii="宋体" w:hAnsi="宋体" w:eastAsia="宋体" w:cs="宋体"/>
          <w:color w:val="000000" w:themeColor="text1"/>
          <w:sz w:val="24"/>
          <w:szCs w:val="24"/>
          <w:highlight w:val="none"/>
          <w14:textFill>
            <w14:solidFill>
              <w14:schemeClr w14:val="tx1"/>
            </w14:solidFill>
          </w14:textFill>
        </w:rPr>
        <w:t>法院</w:t>
      </w:r>
      <w:r>
        <w:rPr>
          <w:rFonts w:hint="eastAsia" w:ascii="宋体" w:hAnsi="宋体" w:eastAsia="宋体" w:cs="宋体"/>
          <w:color w:val="000000" w:themeColor="text1"/>
          <w:sz w:val="24"/>
          <w:szCs w:val="24"/>
          <w:highlight w:val="none"/>
          <w:lang w:eastAsia="zh-CN"/>
          <w14:textFill>
            <w14:solidFill>
              <w14:schemeClr w14:val="tx1"/>
            </w14:solidFill>
          </w14:textFill>
        </w:rPr>
        <w:t>起诉。</w:t>
      </w:r>
    </w:p>
    <w:p w14:paraId="55B7C682">
      <w:pPr>
        <w:pageBreakBefore w:val="0"/>
        <w:tabs>
          <w:tab w:val="left" w:pos="709"/>
        </w:tabs>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2</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蚌埠</w:t>
      </w:r>
      <w:r>
        <w:rPr>
          <w:rFonts w:hint="eastAsia" w:ascii="宋体" w:hAnsi="宋体" w:eastAsia="宋体" w:cs="宋体"/>
          <w:color w:val="000000" w:themeColor="text1"/>
          <w:sz w:val="24"/>
          <w:szCs w:val="24"/>
          <w:highlight w:val="none"/>
          <w14:textFill>
            <w14:solidFill>
              <w14:schemeClr w14:val="tx1"/>
            </w14:solidFill>
          </w14:textFill>
        </w:rPr>
        <w:t>仲裁</w:t>
      </w:r>
      <w:r>
        <w:rPr>
          <w:rFonts w:hint="eastAsia" w:ascii="宋体" w:hAnsi="宋体" w:eastAsia="宋体" w:cs="宋体"/>
          <w:color w:val="000000" w:themeColor="text1"/>
          <w:sz w:val="24"/>
          <w:szCs w:val="24"/>
          <w:highlight w:val="none"/>
          <w:lang w:val="en-US" w:eastAsia="zh-CN"/>
          <w14:textFill>
            <w14:solidFill>
              <w14:schemeClr w14:val="tx1"/>
            </w14:solidFill>
          </w14:textFill>
        </w:rPr>
        <w:t>委员会</w:t>
      </w:r>
      <w:r>
        <w:rPr>
          <w:rFonts w:hint="eastAsia" w:ascii="宋体" w:hAnsi="宋体" w:eastAsia="宋体" w:cs="宋体"/>
          <w:color w:val="000000" w:themeColor="text1"/>
          <w:sz w:val="24"/>
          <w:szCs w:val="24"/>
          <w:highlight w:val="none"/>
          <w:lang w:eastAsia="zh-CN"/>
          <w14:textFill>
            <w14:solidFill>
              <w14:schemeClr w14:val="tx1"/>
            </w14:solidFill>
          </w14:textFill>
        </w:rPr>
        <w:t>申请</w:t>
      </w:r>
      <w:r>
        <w:rPr>
          <w:rFonts w:hint="eastAsia" w:ascii="宋体" w:hAnsi="宋体" w:eastAsia="宋体" w:cs="宋体"/>
          <w:color w:val="000000" w:themeColor="text1"/>
          <w:sz w:val="24"/>
          <w:szCs w:val="24"/>
          <w:highlight w:val="none"/>
          <w14:textFill>
            <w14:solidFill>
              <w14:schemeClr w14:val="tx1"/>
            </w14:solidFill>
          </w14:textFill>
        </w:rPr>
        <w:t>仲裁。</w:t>
      </w:r>
    </w:p>
    <w:p w14:paraId="2404B988">
      <w:pPr>
        <w:pageBreakBefore w:val="0"/>
        <w:tabs>
          <w:tab w:val="left" w:pos="709"/>
        </w:tabs>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第十八条  双方其他约定</w:t>
      </w:r>
    </w:p>
    <w:p w14:paraId="0527F750">
      <w:pPr>
        <w:pageBreakBefore w:val="0"/>
        <w:tabs>
          <w:tab w:val="left" w:pos="709"/>
        </w:tabs>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pPr>
      <w:permStart w:id="59" w:edGrp="everyone"/>
      <w:r>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t xml:space="preserve">         /      </w:t>
      </w:r>
    </w:p>
    <w:permEnd w:id="59"/>
    <w:p w14:paraId="385CF799">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附则</w:t>
      </w:r>
    </w:p>
    <w:p w14:paraId="443AB871">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合同签订前乙方必须提供其营业执照、法人授权委托书等资料原件由甲方进行审核。甲方审核通过后，乙方应将以上证件复印件加盖公章交由甲方，并作为本合同附件之一。</w:t>
      </w:r>
    </w:p>
    <w:p w14:paraId="09234E9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在本合同履行过程中，任何一方发生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公司破产、重组、解散，公司营业执照吊销、注销，公司</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税务登记、名称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变更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等重大信息的变更事项，应在重大信息变更后的7日内书面通知对方变更情况，并提供相关信息资料。</w:t>
      </w:r>
    </w:p>
    <w:p w14:paraId="5C87972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双方确定所预留的以下地址为往来函件、法院（仲裁、公证等机构）法律文书的送达地址，任一方变更送达地址必须在变更地址之日起</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日内向对方书面通知，否则不发生送达地址变更的法律效力，对方按原地址送达仍然为有效送达。</w:t>
      </w:r>
    </w:p>
    <w:p w14:paraId="018FBF58">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甲方送达地址：</w:t>
      </w:r>
      <w:permStart w:id="6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安徽省蚌埠市禹会路与高新路交叉口向西100米安徽水利工业园   </w:t>
      </w:r>
      <w:permEnd w:id="60"/>
    </w:p>
    <w:p w14:paraId="6EBF5713">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易佳丽                                            </w:t>
      </w:r>
    </w:p>
    <w:permEnd w:id="61"/>
    <w:p w14:paraId="43A98E75">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eastAsiaTheme="minorEastAsia"/>
          <w:spacing w:val="-3"/>
          <w:sz w:val="24"/>
          <w:szCs w:val="24"/>
          <w:u w:val="single" w:color="auto"/>
          <w:lang w:val="en-US" w:eastAsia="zh-CN"/>
        </w:rPr>
        <w:t>15955231529</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2"/>
    <w:p w14:paraId="31499FC1">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3"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63"/>
    </w:p>
    <w:p w14:paraId="4B6CA9C9">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乙方送达地址：</w:t>
      </w:r>
      <w:permStart w:id="6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4"/>
    <w:p w14:paraId="4F6F29C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5"/>
    </w:p>
    <w:p w14:paraId="1858DCE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6"/>
    </w:p>
    <w:p w14:paraId="0406FEB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7"/>
    </w:p>
    <w:p w14:paraId="67A07DE7">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本合同中所涉及的债权，乙方不得擅自转让，也不得用于任何形式的担保。若乙方擅自转让或用于担保的，则该行为无效，乙方应赔偿甲方因此受到的全部损失。</w:t>
      </w:r>
    </w:p>
    <w:p w14:paraId="73E51CCA">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本合同中涉及乙方向甲方提交的资料，乙方必须对其资料的真实性、合法性、有效性、完整性负责，否则，视为乙方违约并自行承担责任。</w:t>
      </w:r>
    </w:p>
    <w:p w14:paraId="309D854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6、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乙方承诺</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所有行为活动</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遵纪守法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、合规（附件一、二）</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，保证甲方免于承担因乙方违反法律而引起的任何责任。</w:t>
      </w:r>
    </w:p>
    <w:p w14:paraId="59E4AB03">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对本合同条款均已完全理解，对履行本合同可能存在的各项风险包括工程停建、工期变更、资金周转、自然条件变化、征地拆迁滞后、图纸迟延等均已充分判断，乙方签订本合同则视为自愿承担可能存在的各种风险。</w:t>
      </w:r>
    </w:p>
    <w:p w14:paraId="6042CA40">
      <w:pPr>
        <w:pStyle w:val="6"/>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t>合同附件均视为本合同的组成部分，与本合同具有同等法律效力。</w:t>
      </w:r>
    </w:p>
    <w:p w14:paraId="0825582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pacing w:val="30"/>
          <w:sz w:val="24"/>
          <w:szCs w:val="24"/>
          <w:highlight w:val="none"/>
          <w:u w:val="none"/>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eastAsia="zh-CN"/>
          <w14:textFill>
            <w14:solidFill>
              <w14:schemeClr w14:val="tx1"/>
            </w14:solidFill>
          </w14:textFill>
        </w:rPr>
        <w:t>附件一：</w:t>
      </w: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商业伙伴</w:t>
      </w:r>
      <w:r>
        <w:rPr>
          <w:rFonts w:hint="eastAsia" w:asciiTheme="minorEastAsia" w:hAnsiTheme="minorEastAsia" w:eastAsiaTheme="minorEastAsia" w:cstheme="minorEastAsia"/>
          <w:b w:val="0"/>
          <w:bCs w:val="0"/>
          <w:color w:val="000000" w:themeColor="text1"/>
          <w:sz w:val="24"/>
          <w:szCs w:val="24"/>
          <w:highlight w:val="none"/>
          <w:u w:val="none"/>
          <w:lang w:val="en-US" w:eastAsia="zh-Hans"/>
          <w14:textFill>
            <w14:solidFill>
              <w14:schemeClr w14:val="tx1"/>
            </w14:solidFill>
          </w14:textFill>
        </w:rPr>
        <w:t>合规承诺书</w:t>
      </w:r>
    </w:p>
    <w:p w14:paraId="0AE255A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附件二：廉政合同</w:t>
      </w:r>
    </w:p>
    <w:p w14:paraId="5B1954F3">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附件三：授权委托书</w:t>
      </w:r>
    </w:p>
    <w:p w14:paraId="11C2FFF5">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第二十条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本合同一式</w:t>
      </w:r>
      <w:permStart w:id="6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肆   </w:t>
      </w:r>
      <w:permEnd w:id="6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份，由甲、乙双方各执</w:t>
      </w:r>
      <w:permStart w:id="6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贰  </w:t>
      </w:r>
      <w:permEnd w:id="6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份，自双方签字且盖章之日起生效</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，至各方完成合同全部义务之日终止。</w:t>
      </w:r>
    </w:p>
    <w:p w14:paraId="60857A50">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p>
    <w:p w14:paraId="31BECE9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以下无正文，为合同签署页及附件</w:t>
      </w:r>
    </w:p>
    <w:p w14:paraId="0BDCA34F">
      <w:pPr>
        <w:pStyle w:val="9"/>
        <w:adjustRightInd w:val="0"/>
        <w:snapToGrid w:val="0"/>
        <w:spacing w:line="440" w:lineRule="exact"/>
        <w:jc w:val="both"/>
        <w:rPr>
          <w:rFonts w:hint="eastAsia" w:ascii="宋体" w:hAnsi="宋体" w:eastAsia="宋体" w:cs="宋体"/>
          <w:color w:val="000000" w:themeColor="text1"/>
          <w:sz w:val="24"/>
          <w:szCs w:val="24"/>
          <w:highlight w:val="none"/>
          <w14:textFill>
            <w14:solidFill>
              <w14:schemeClr w14:val="tx1"/>
            </w14:solidFill>
          </w14:textFill>
        </w:rPr>
      </w:pPr>
    </w:p>
    <w:tbl>
      <w:tblPr>
        <w:tblStyle w:val="10"/>
        <w:tblW w:w="8814" w:type="dxa"/>
        <w:tblInd w:w="0" w:type="dxa"/>
        <w:tblLayout w:type="fixed"/>
        <w:tblCellMar>
          <w:top w:w="0" w:type="dxa"/>
          <w:left w:w="108" w:type="dxa"/>
          <w:bottom w:w="0" w:type="dxa"/>
          <w:right w:w="108" w:type="dxa"/>
        </w:tblCellMar>
      </w:tblPr>
      <w:tblGrid>
        <w:gridCol w:w="4407"/>
        <w:gridCol w:w="4407"/>
      </w:tblGrid>
      <w:tr w14:paraId="2A25E5BE">
        <w:tblPrEx>
          <w:tblCellMar>
            <w:top w:w="0" w:type="dxa"/>
            <w:left w:w="108" w:type="dxa"/>
            <w:bottom w:w="0" w:type="dxa"/>
            <w:right w:w="108" w:type="dxa"/>
          </w:tblCellMar>
        </w:tblPrEx>
        <w:trPr>
          <w:trHeight w:val="639" w:hRule="atLeast"/>
        </w:trPr>
        <w:tc>
          <w:tcPr>
            <w:tcW w:w="4407" w:type="dxa"/>
            <w:vAlign w:val="top"/>
          </w:tcPr>
          <w:p w14:paraId="132A2691">
            <w:pPr>
              <w:spacing w:line="390" w:lineRule="exact"/>
              <w:rPr>
                <w:rFonts w:hint="eastAsia" w:ascii="宋体" w:hAnsi="宋体" w:eastAsia="宋体" w:cs="宋体"/>
                <w:color w:val="000000" w:themeColor="text1"/>
                <w:szCs w:val="24"/>
                <w:highlight w:val="none"/>
                <w14:textFill>
                  <w14:solidFill>
                    <w14:schemeClr w14:val="tx1"/>
                  </w14:solidFill>
                </w14:textFill>
              </w:rPr>
            </w:pPr>
            <w:permStart w:id="70" w:edGrp="everyone"/>
            <w:r>
              <w:rPr>
                <w:rFonts w:hint="eastAsia" w:ascii="宋体" w:hAnsi="宋体" w:eastAsia="宋体" w:cs="宋体"/>
                <w:color w:val="000000" w:themeColor="text1"/>
                <w:szCs w:val="24"/>
                <w:highlight w:val="none"/>
                <w14:textFill>
                  <w14:solidFill>
                    <w14:schemeClr w14:val="tx1"/>
                  </w14:solidFill>
                </w14:textFill>
              </w:rPr>
              <w:t>甲方：（盖章）</w:t>
            </w:r>
          </w:p>
        </w:tc>
        <w:tc>
          <w:tcPr>
            <w:tcW w:w="4407" w:type="dxa"/>
            <w:vAlign w:val="top"/>
          </w:tcPr>
          <w:p w14:paraId="33B03C5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乙方：（盖章）</w:t>
            </w:r>
          </w:p>
        </w:tc>
      </w:tr>
      <w:tr w14:paraId="4F25BFC8">
        <w:tblPrEx>
          <w:tblCellMar>
            <w:top w:w="0" w:type="dxa"/>
            <w:left w:w="108" w:type="dxa"/>
            <w:bottom w:w="0" w:type="dxa"/>
            <w:right w:w="108" w:type="dxa"/>
          </w:tblCellMar>
        </w:tblPrEx>
        <w:trPr>
          <w:trHeight w:val="639" w:hRule="atLeast"/>
        </w:trPr>
        <w:tc>
          <w:tcPr>
            <w:tcW w:w="4407" w:type="dxa"/>
            <w:vAlign w:val="top"/>
          </w:tcPr>
          <w:p w14:paraId="15A7281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c>
          <w:tcPr>
            <w:tcW w:w="4407" w:type="dxa"/>
            <w:vAlign w:val="top"/>
          </w:tcPr>
          <w:p w14:paraId="26AF519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r>
      <w:tr w14:paraId="3FFDF4B8">
        <w:tblPrEx>
          <w:tblCellMar>
            <w:top w:w="0" w:type="dxa"/>
            <w:left w:w="108" w:type="dxa"/>
            <w:bottom w:w="0" w:type="dxa"/>
            <w:right w:w="108" w:type="dxa"/>
          </w:tblCellMar>
        </w:tblPrEx>
        <w:trPr>
          <w:trHeight w:val="639" w:hRule="atLeast"/>
        </w:trPr>
        <w:tc>
          <w:tcPr>
            <w:tcW w:w="4407" w:type="dxa"/>
            <w:vAlign w:val="top"/>
          </w:tcPr>
          <w:p w14:paraId="1EFE1BD7">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c>
          <w:tcPr>
            <w:tcW w:w="4407" w:type="dxa"/>
            <w:vAlign w:val="top"/>
          </w:tcPr>
          <w:p w14:paraId="763CEA55">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r>
      <w:tr w14:paraId="11A5439D">
        <w:tblPrEx>
          <w:tblCellMar>
            <w:top w:w="0" w:type="dxa"/>
            <w:left w:w="108" w:type="dxa"/>
            <w:bottom w:w="0" w:type="dxa"/>
            <w:right w:w="108" w:type="dxa"/>
          </w:tblCellMar>
        </w:tblPrEx>
        <w:trPr>
          <w:trHeight w:val="639" w:hRule="atLeast"/>
        </w:trPr>
        <w:tc>
          <w:tcPr>
            <w:tcW w:w="4407" w:type="dxa"/>
            <w:vAlign w:val="top"/>
          </w:tcPr>
          <w:p w14:paraId="7F66BBDF">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c>
          <w:tcPr>
            <w:tcW w:w="4407" w:type="dxa"/>
            <w:vAlign w:val="top"/>
          </w:tcPr>
          <w:p w14:paraId="07C85BD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r>
      <w:tr w14:paraId="65A5A68D">
        <w:tblPrEx>
          <w:tblCellMar>
            <w:top w:w="0" w:type="dxa"/>
            <w:left w:w="108" w:type="dxa"/>
            <w:bottom w:w="0" w:type="dxa"/>
            <w:right w:w="108" w:type="dxa"/>
          </w:tblCellMar>
        </w:tblPrEx>
        <w:trPr>
          <w:trHeight w:val="639" w:hRule="atLeast"/>
        </w:trPr>
        <w:tc>
          <w:tcPr>
            <w:tcW w:w="4407" w:type="dxa"/>
            <w:vAlign w:val="top"/>
          </w:tcPr>
          <w:p w14:paraId="5A180481">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c>
          <w:tcPr>
            <w:tcW w:w="4407" w:type="dxa"/>
            <w:vAlign w:val="top"/>
          </w:tcPr>
          <w:p w14:paraId="78ADE89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r>
      <w:tr w14:paraId="2CB60AFB">
        <w:tblPrEx>
          <w:tblCellMar>
            <w:top w:w="0" w:type="dxa"/>
            <w:left w:w="108" w:type="dxa"/>
            <w:bottom w:w="0" w:type="dxa"/>
            <w:right w:w="108" w:type="dxa"/>
          </w:tblCellMar>
        </w:tblPrEx>
        <w:trPr>
          <w:trHeight w:val="639" w:hRule="atLeast"/>
        </w:trPr>
        <w:tc>
          <w:tcPr>
            <w:tcW w:w="4407" w:type="dxa"/>
            <w:vAlign w:val="top"/>
          </w:tcPr>
          <w:p w14:paraId="5FC69280">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c>
          <w:tcPr>
            <w:tcW w:w="4407" w:type="dxa"/>
            <w:vAlign w:val="top"/>
          </w:tcPr>
          <w:p w14:paraId="7060389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r>
      <w:tr w14:paraId="00ECDD61">
        <w:tblPrEx>
          <w:tblCellMar>
            <w:top w:w="0" w:type="dxa"/>
            <w:left w:w="108" w:type="dxa"/>
            <w:bottom w:w="0" w:type="dxa"/>
            <w:right w:w="108" w:type="dxa"/>
          </w:tblCellMar>
        </w:tblPrEx>
        <w:trPr>
          <w:trHeight w:val="639" w:hRule="atLeast"/>
        </w:trPr>
        <w:tc>
          <w:tcPr>
            <w:tcW w:w="4407" w:type="dxa"/>
            <w:vAlign w:val="top"/>
          </w:tcPr>
          <w:p w14:paraId="48D1C17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c>
          <w:tcPr>
            <w:tcW w:w="4407" w:type="dxa"/>
            <w:vAlign w:val="top"/>
          </w:tcPr>
          <w:p w14:paraId="7AE3F706">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r>
      <w:tr w14:paraId="3A3A4A75">
        <w:tblPrEx>
          <w:tblCellMar>
            <w:top w:w="0" w:type="dxa"/>
            <w:left w:w="108" w:type="dxa"/>
            <w:bottom w:w="0" w:type="dxa"/>
            <w:right w:w="108" w:type="dxa"/>
          </w:tblCellMar>
        </w:tblPrEx>
        <w:trPr>
          <w:trHeight w:val="639" w:hRule="atLeast"/>
        </w:trPr>
        <w:tc>
          <w:tcPr>
            <w:tcW w:w="4407" w:type="dxa"/>
            <w:vAlign w:val="top"/>
          </w:tcPr>
          <w:p w14:paraId="094D5A12">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c>
          <w:tcPr>
            <w:tcW w:w="4407" w:type="dxa"/>
            <w:vAlign w:val="top"/>
          </w:tcPr>
          <w:p w14:paraId="2AF4D928">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r>
      <w:permEnd w:id="70"/>
    </w:tbl>
    <w:p w14:paraId="5A0DB3CC">
      <w:pP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br w:type="page"/>
      </w:r>
    </w:p>
    <w:p w14:paraId="6C8255E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t>附件一</w:t>
      </w:r>
    </w:p>
    <w:p w14:paraId="1F30A6C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891" w:firstLineChars="9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32"/>
          <w:szCs w:val="32"/>
          <w:highlight w:val="none"/>
          <w:lang w:val="en-US" w:eastAsia="zh-CN"/>
          <w14:textFill>
            <w14:solidFill>
              <w14:schemeClr w14:val="tx1"/>
            </w14:solidFill>
          </w14:textFill>
        </w:rPr>
        <w:t>商业伙伴</w:t>
      </w:r>
      <w:r>
        <w:rPr>
          <w:rFonts w:hint="eastAsia" w:ascii="Times New Roman" w:hAnsi="Times New Roman" w:eastAsia="宋体" w:cs="Times New Roman"/>
          <w:b/>
          <w:bCs/>
          <w:color w:val="000000" w:themeColor="text1"/>
          <w:sz w:val="32"/>
          <w:szCs w:val="32"/>
          <w:highlight w:val="none"/>
          <w:lang w:val="en-US" w:eastAsia="zh-Hans"/>
          <w14:textFill>
            <w14:solidFill>
              <w14:schemeClr w14:val="tx1"/>
            </w14:solidFill>
          </w14:textFill>
        </w:rPr>
        <w:t>合规承诺书</w:t>
      </w:r>
    </w:p>
    <w:p w14:paraId="08968F34">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致</w:t>
      </w:r>
      <w:permStart w:id="71"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1"/>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6F51124B">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我单位/本人承诺，在与贵公司的合作过程中，严格遵守以下合规要求。</w:t>
      </w:r>
    </w:p>
    <w:p w14:paraId="7BDD381B">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严格</w:t>
      </w:r>
      <w:r>
        <w:rPr>
          <w:rFonts w:hint="eastAsia" w:ascii="宋体" w:hAnsi="宋体" w:eastAsia="宋体" w:cs="宋体"/>
          <w:color w:val="000000" w:themeColor="text1"/>
          <w:sz w:val="24"/>
          <w:szCs w:val="24"/>
          <w:highlight w:val="none"/>
          <w14:textFill>
            <w14:solidFill>
              <w14:schemeClr w14:val="tx1"/>
            </w14:solidFill>
          </w14:textFill>
        </w:rPr>
        <w:t>遵守国家法律法规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不与</w:t>
      </w:r>
      <w:r>
        <w:rPr>
          <w:rFonts w:hint="eastAsia" w:ascii="宋体" w:hAnsi="宋体" w:eastAsia="宋体" w:cs="宋体"/>
          <w:color w:val="000000" w:themeColor="text1"/>
          <w:sz w:val="24"/>
          <w:szCs w:val="24"/>
          <w:highlight w:val="none"/>
          <w:lang w:val="en-US" w:eastAsia="zh-CN"/>
          <w14:textFill>
            <w14:solidFill>
              <w14:schemeClr w14:val="tx1"/>
            </w14:solidFill>
          </w14:textFill>
        </w:rPr>
        <w:t>任何人员</w:t>
      </w:r>
      <w:r>
        <w:rPr>
          <w:rFonts w:hint="eastAsia" w:ascii="宋体" w:hAnsi="宋体" w:eastAsia="宋体" w:cs="宋体"/>
          <w:color w:val="000000" w:themeColor="text1"/>
          <w:sz w:val="24"/>
          <w:szCs w:val="24"/>
          <w:highlight w:val="none"/>
          <w:lang w:val="en-US" w:eastAsia="zh-Hans"/>
          <w14:textFill>
            <w14:solidFill>
              <w14:schemeClr w14:val="tx1"/>
            </w14:solidFill>
          </w14:textFill>
        </w:rPr>
        <w:t>恶意</w:t>
      </w:r>
      <w:r>
        <w:rPr>
          <w:rFonts w:hint="eastAsia" w:ascii="宋体" w:hAnsi="宋体" w:eastAsia="宋体" w:cs="宋体"/>
          <w:color w:val="000000" w:themeColor="text1"/>
          <w:sz w:val="24"/>
          <w:szCs w:val="24"/>
          <w:highlight w:val="none"/>
          <w14:textFill>
            <w14:solidFill>
              <w14:schemeClr w14:val="tx1"/>
            </w14:solidFill>
          </w14:textFill>
        </w:rPr>
        <w:t>串通，损害国家、社会公众以及</w:t>
      </w:r>
      <w:r>
        <w:rPr>
          <w:rFonts w:hint="eastAsia" w:ascii="宋体" w:hAnsi="宋体" w:eastAsia="宋体" w:cs="宋体"/>
          <w:color w:val="000000" w:themeColor="text1"/>
          <w:sz w:val="24"/>
          <w:szCs w:val="24"/>
          <w:highlight w:val="none"/>
          <w:lang w:val="en-US" w:eastAsia="zh-Hans"/>
          <w14:textFill>
            <w14:solidFill>
              <w14:schemeClr w14:val="tx1"/>
            </w14:solidFill>
          </w14:textFill>
        </w:rPr>
        <w:t>第三方</w:t>
      </w:r>
      <w:r>
        <w:rPr>
          <w:rFonts w:hint="eastAsia" w:ascii="宋体" w:hAnsi="宋体" w:eastAsia="宋体" w:cs="宋体"/>
          <w:color w:val="000000" w:themeColor="text1"/>
          <w:sz w:val="24"/>
          <w:szCs w:val="24"/>
          <w:highlight w:val="none"/>
          <w14:textFill>
            <w14:solidFill>
              <w14:schemeClr w14:val="tx1"/>
            </w14:solidFill>
          </w14:textFill>
        </w:rPr>
        <w:t>的合法</w:t>
      </w:r>
      <w:r>
        <w:rPr>
          <w:rFonts w:hint="eastAsia" w:ascii="宋体" w:hAnsi="宋体" w:eastAsia="宋体" w:cs="宋体"/>
          <w:color w:val="000000" w:themeColor="text1"/>
          <w:sz w:val="24"/>
          <w:szCs w:val="24"/>
          <w:highlight w:val="none"/>
          <w:lang w:eastAsia="zh-CN"/>
          <w14:textFill>
            <w14:solidFill>
              <w14:schemeClr w14:val="tx1"/>
            </w14:solidFill>
          </w14:textFill>
        </w:rPr>
        <w:t>权益。</w:t>
      </w:r>
    </w:p>
    <w:p w14:paraId="50CF2298">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严格遵守国家有关部门、地方政府监管规定，所有业务活动均符合监管要求。</w:t>
      </w:r>
    </w:p>
    <w:p w14:paraId="4ADA16AA">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严格按照国家标准、行业规范、行业惯例进行业务操作，所有操作均符合国家标准和行业规范。</w:t>
      </w:r>
    </w:p>
    <w:p w14:paraId="08889B79">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四、强化</w:t>
      </w:r>
      <w:r>
        <w:rPr>
          <w:rFonts w:hint="eastAsia" w:ascii="宋体" w:hAnsi="宋体" w:eastAsia="宋体" w:cs="宋体"/>
          <w:color w:val="000000" w:themeColor="text1"/>
          <w:sz w:val="24"/>
          <w:szCs w:val="24"/>
          <w:highlight w:val="none"/>
          <w:lang w:val="en-US" w:eastAsia="zh-Hans"/>
          <w14:textFill>
            <w14:solidFill>
              <w14:schemeClr w14:val="tx1"/>
            </w14:solidFill>
          </w14:textFill>
        </w:rPr>
        <w:t>契约精神，遵守诚实信用原则，恪守协议约定，忠实、全面履行合同。</w:t>
      </w:r>
    </w:p>
    <w:p w14:paraId="47C91F36">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五、自觉遵守公共秩序和善良风俗，遵守职业道德，在守住合规底线基础上，以高标准要求自身。</w:t>
      </w:r>
    </w:p>
    <w:p w14:paraId="56C3CA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六、</w:t>
      </w:r>
      <w:r>
        <w:rPr>
          <w:rFonts w:hint="eastAsia" w:ascii="宋体" w:hAnsi="宋体" w:eastAsia="宋体" w:cs="宋体"/>
          <w:color w:val="000000" w:themeColor="text1"/>
          <w:sz w:val="24"/>
          <w:szCs w:val="24"/>
          <w:highlight w:val="none"/>
          <w:lang w:val="en-US" w:eastAsia="zh-CN"/>
          <w14:textFill>
            <w14:solidFill>
              <w14:schemeClr w14:val="tx1"/>
            </w14:solidFill>
          </w14:textFill>
        </w:rPr>
        <w:t>反对商业贿赂和腐败行为，</w:t>
      </w:r>
      <w:r>
        <w:rPr>
          <w:rFonts w:hint="eastAsia" w:ascii="宋体" w:hAnsi="宋体" w:eastAsia="宋体" w:cs="宋体"/>
          <w:color w:val="000000" w:themeColor="text1"/>
          <w:sz w:val="24"/>
          <w:szCs w:val="24"/>
          <w:highlight w:val="none"/>
          <w14:textFill>
            <w14:solidFill>
              <w14:schemeClr w14:val="tx1"/>
            </w14:solidFill>
          </w14:textFill>
        </w:rPr>
        <w:t>不以任何名义向</w:t>
      </w:r>
      <w:r>
        <w:rPr>
          <w:rFonts w:hint="eastAsia" w:ascii="宋体" w:hAnsi="宋体" w:eastAsia="宋体" w:cs="宋体"/>
          <w:color w:val="000000" w:themeColor="text1"/>
          <w:sz w:val="24"/>
          <w:szCs w:val="24"/>
          <w:highlight w:val="none"/>
          <w:lang w:eastAsia="zh-CN"/>
          <w14:textFill>
            <w14:solidFill>
              <w14:schemeClr w14:val="tx1"/>
            </w14:solidFill>
          </w14:textFill>
        </w:rPr>
        <w:t>贵公司有关人员赠送财物、提供高消费宴请及娱乐活动，或为其获取其他不正当利益。确保我单位人员不以任何名义从涉及的经济往来中获取其他不正当利益</w:t>
      </w:r>
      <w:r>
        <w:rPr>
          <w:rFonts w:hint="eastAsia" w:ascii="宋体" w:hAnsi="宋体" w:eastAsia="宋体" w:cs="宋体"/>
          <w:color w:val="000000" w:themeColor="text1"/>
          <w:sz w:val="24"/>
          <w:szCs w:val="24"/>
          <w:highlight w:val="none"/>
          <w14:textFill>
            <w14:solidFill>
              <w14:schemeClr w14:val="tx1"/>
            </w14:solidFill>
          </w14:textFill>
        </w:rPr>
        <w:t>。</w:t>
      </w:r>
    </w:p>
    <w:p w14:paraId="01B6F42A">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七、积极履行合规义务，确保我单位人员在与贵公司的合作过程中遵守上述要求，力争</w:t>
      </w:r>
      <w:r>
        <w:rPr>
          <w:rFonts w:hint="eastAsia" w:ascii="宋体" w:hAnsi="宋体" w:eastAsia="宋体" w:cs="宋体"/>
          <w:color w:val="000000" w:themeColor="text1"/>
          <w:sz w:val="24"/>
          <w:szCs w:val="24"/>
          <w:highlight w:val="none"/>
          <w:lang w:val="en-US" w:eastAsia="zh-Hans"/>
          <w14:textFill>
            <w14:solidFill>
              <w14:schemeClr w14:val="tx1"/>
            </w14:solidFill>
          </w14:textFill>
        </w:rPr>
        <w:t>建立全面、有效的</w:t>
      </w:r>
      <w:r>
        <w:rPr>
          <w:rFonts w:hint="eastAsia" w:ascii="宋体" w:hAnsi="宋体" w:eastAsia="宋体" w:cs="宋体"/>
          <w:color w:val="000000" w:themeColor="text1"/>
          <w:sz w:val="24"/>
          <w:szCs w:val="24"/>
          <w:highlight w:val="none"/>
          <w:lang w:val="en-US" w:eastAsia="zh-CN"/>
          <w14:textFill>
            <w14:solidFill>
              <w14:schemeClr w14:val="tx1"/>
            </w14:solidFill>
          </w14:textFill>
        </w:rPr>
        <w:t>本单位内部</w:t>
      </w:r>
      <w:r>
        <w:rPr>
          <w:rFonts w:hint="eastAsia" w:ascii="宋体" w:hAnsi="宋体" w:eastAsia="宋体" w:cs="宋体"/>
          <w:color w:val="000000" w:themeColor="text1"/>
          <w:sz w:val="24"/>
          <w:szCs w:val="24"/>
          <w:highlight w:val="none"/>
          <w:lang w:val="en-US" w:eastAsia="zh-Hans"/>
          <w14:textFill>
            <w14:solidFill>
              <w14:schemeClr w14:val="tx1"/>
            </w14:solidFill>
          </w14:textFill>
        </w:rPr>
        <w:t>合规管理体系，</w:t>
      </w:r>
      <w:r>
        <w:rPr>
          <w:rFonts w:hint="eastAsia" w:ascii="宋体" w:hAnsi="宋体" w:eastAsia="宋体" w:cs="宋体"/>
          <w:color w:val="000000" w:themeColor="text1"/>
          <w:sz w:val="24"/>
          <w:szCs w:val="24"/>
          <w:highlight w:val="none"/>
          <w:lang w:val="en-US" w:eastAsia="zh-CN"/>
          <w14:textFill>
            <w14:solidFill>
              <w14:schemeClr w14:val="tx1"/>
            </w14:solidFill>
          </w14:textFill>
        </w:rPr>
        <w:t>依法合规经营，不因违法违规受到重大处罚，导致丧失履约能力。</w:t>
      </w:r>
    </w:p>
    <w:p w14:paraId="37AA8A9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本承诺书在</w:t>
      </w:r>
      <w:r>
        <w:rPr>
          <w:rFonts w:hint="eastAsia" w:ascii="宋体" w:hAnsi="宋体" w:eastAsia="宋体" w:cs="宋体"/>
          <w:color w:val="000000" w:themeColor="text1"/>
          <w:sz w:val="24"/>
          <w:szCs w:val="24"/>
          <w:highlight w:val="none"/>
          <w:lang w:eastAsia="zh-CN"/>
          <w14:textFill>
            <w14:solidFill>
              <w14:schemeClr w14:val="tx1"/>
            </w14:solidFill>
          </w14:textFill>
        </w:rPr>
        <w:t>与贵公司的</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Hans"/>
          <w14:textFill>
            <w14:solidFill>
              <w14:schemeClr w14:val="tx1"/>
            </w14:solidFill>
          </w14:textFill>
        </w:rPr>
        <w:t>签署</w:t>
      </w:r>
      <w:r>
        <w:rPr>
          <w:rFonts w:hint="eastAsia" w:ascii="宋体" w:hAnsi="宋体" w:eastAsia="宋体" w:cs="宋体"/>
          <w:color w:val="000000" w:themeColor="text1"/>
          <w:sz w:val="24"/>
          <w:szCs w:val="24"/>
          <w:highlight w:val="none"/>
          <w14:textFill>
            <w14:solidFill>
              <w14:schemeClr w14:val="tx1"/>
            </w14:solidFill>
          </w14:textFill>
        </w:rPr>
        <w:t>、履约过程中</w:t>
      </w:r>
      <w:r>
        <w:rPr>
          <w:rFonts w:hint="eastAsia" w:ascii="宋体" w:hAnsi="宋体" w:eastAsia="宋体" w:cs="宋体"/>
          <w:color w:val="000000" w:themeColor="text1"/>
          <w:sz w:val="24"/>
          <w:szCs w:val="24"/>
          <w:highlight w:val="none"/>
          <w:lang w:eastAsia="zh-CN"/>
          <w14:textFill>
            <w14:solidFill>
              <w14:schemeClr w14:val="tx1"/>
            </w14:solidFill>
          </w14:textFill>
        </w:rPr>
        <w:t>持续</w:t>
      </w:r>
      <w:r>
        <w:rPr>
          <w:rFonts w:hint="eastAsia" w:ascii="宋体" w:hAnsi="宋体" w:eastAsia="宋体" w:cs="宋体"/>
          <w:color w:val="000000" w:themeColor="text1"/>
          <w:sz w:val="24"/>
          <w:szCs w:val="24"/>
          <w:highlight w:val="none"/>
          <w14:textFill>
            <w14:solidFill>
              <w14:schemeClr w14:val="tx1"/>
            </w14:solidFill>
          </w14:textFill>
        </w:rPr>
        <w:t>有效，并作为合同的</w:t>
      </w:r>
      <w:r>
        <w:rPr>
          <w:rFonts w:hint="eastAsia" w:ascii="宋体" w:hAnsi="宋体" w:eastAsia="宋体" w:cs="宋体"/>
          <w:color w:val="000000" w:themeColor="text1"/>
          <w:sz w:val="24"/>
          <w:szCs w:val="24"/>
          <w:highlight w:val="none"/>
          <w:lang w:eastAsia="zh-CN"/>
          <w14:textFill>
            <w14:solidFill>
              <w14:schemeClr w14:val="tx1"/>
            </w14:solidFill>
          </w14:textFill>
        </w:rPr>
        <w:t>组成部分</w:t>
      </w:r>
      <w:r>
        <w:rPr>
          <w:rFonts w:hint="eastAsia" w:ascii="宋体" w:hAnsi="宋体" w:eastAsia="宋体" w:cs="宋体"/>
          <w:color w:val="000000" w:themeColor="text1"/>
          <w:sz w:val="24"/>
          <w:szCs w:val="24"/>
          <w:highlight w:val="none"/>
          <w14:textFill>
            <w14:solidFill>
              <w14:schemeClr w14:val="tx1"/>
            </w14:solidFill>
          </w14:textFill>
        </w:rPr>
        <w:t>。</w:t>
      </w:r>
    </w:p>
    <w:p w14:paraId="5A8DD1E2">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permStart w:id="72" w:edGrp="everyone"/>
    </w:p>
    <w:p w14:paraId="57F6F6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3600" w:firstLineChars="15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承诺</w:t>
      </w:r>
      <w:r>
        <w:rPr>
          <w:rFonts w:hint="eastAsia" w:ascii="宋体" w:hAnsi="宋体" w:eastAsia="宋体" w:cs="宋体"/>
          <w:color w:val="000000" w:themeColor="text1"/>
          <w:sz w:val="24"/>
          <w:szCs w:val="24"/>
          <w:highlight w:val="none"/>
          <w:lang w:val="en-US" w:eastAsia="zh-CN"/>
          <w14:textFill>
            <w14:solidFill>
              <w14:schemeClr w14:val="tx1"/>
            </w14:solidFill>
          </w14:textFill>
        </w:rPr>
        <w:t>单位/人（签字或盖章）</w:t>
      </w:r>
      <w:r>
        <w:rPr>
          <w:rFonts w:hint="eastAsia" w:ascii="宋体" w:hAnsi="宋体" w:eastAsia="宋体" w:cs="宋体"/>
          <w:color w:val="000000" w:themeColor="text1"/>
          <w:sz w:val="24"/>
          <w:szCs w:val="24"/>
          <w:highlight w:val="none"/>
          <w:lang w:val="en-US" w:eastAsia="zh-Hans"/>
          <w14:textFill>
            <w14:solidFill>
              <w14:schemeClr w14:val="tx1"/>
            </w14:solidFill>
          </w14:textFill>
        </w:rPr>
        <w:t>：</w:t>
      </w:r>
    </w:p>
    <w:p w14:paraId="62ABC75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560" w:firstLineChars="1900"/>
        <w:textAlignment w:val="auto"/>
        <w:rPr>
          <w:color w:val="000000" w:themeColor="text1"/>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年</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月</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日</w:t>
      </w:r>
    </w:p>
    <w:permEnd w:id="72"/>
    <w:p w14:paraId="1A0FBA59">
      <w:pP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br w:type="page"/>
      </w:r>
    </w:p>
    <w:p w14:paraId="2DAB50CE">
      <w:pPr>
        <w:pStyle w:val="3"/>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附件二</w:t>
      </w:r>
    </w:p>
    <w:p w14:paraId="44F119F2">
      <w:pPr>
        <w:pStyle w:val="2"/>
        <w:pageBreakBefore w:val="0"/>
        <w:wordWrap/>
        <w:bidi w:val="0"/>
        <w:spacing w:before="0" w:line="360" w:lineRule="auto"/>
        <w:jc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32"/>
          <w:szCs w:val="32"/>
          <w:highlight w:val="none"/>
          <w:lang w:eastAsia="zh-CN"/>
          <w14:textFill>
            <w14:solidFill>
              <w14:schemeClr w14:val="tx1"/>
            </w14:solidFill>
          </w14:textFill>
        </w:rPr>
        <w:t>廉政合同</w:t>
      </w:r>
    </w:p>
    <w:p w14:paraId="26F7CE62">
      <w:pPr>
        <w:keepNext w:val="0"/>
        <w:keepLines w:val="0"/>
        <w:pageBreakBefore w:val="0"/>
        <w:widowControl w:val="0"/>
        <w:kinsoku/>
        <w:wordWrap/>
        <w:overflowPunct/>
        <w:topLinePunct/>
        <w:autoSpaceDE w:val="0"/>
        <w:bidi w:val="0"/>
        <w:adjustRightInd w:val="0"/>
        <w:snapToGrid w:val="0"/>
        <w:spacing w:line="360" w:lineRule="auto"/>
        <w:ind w:firstLine="482"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permStart w:id="73"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3"/>
    </w:p>
    <w:p w14:paraId="024B526D">
      <w:pPr>
        <w:pStyle w:val="13"/>
        <w:ind w:firstLine="482" w:firstLineChars="200"/>
        <w:rPr>
          <w:rFonts w:hint="default"/>
          <w:color w:val="000000" w:themeColor="text1"/>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permStart w:id="7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ermEnd w:id="74"/>
    <w:p w14:paraId="779E0110">
      <w:pPr>
        <w:keepNext w:val="0"/>
        <w:keepLines w:val="0"/>
        <w:pageBreakBefore w:val="0"/>
        <w:widowControl w:val="0"/>
        <w:kinsoku/>
        <w:wordWrap/>
        <w:overflowPunct/>
        <w:topLinePunct/>
        <w:autoSpaceDE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根据有关工程建设、廉政建设的规定，为做好工程建设中的党风廉政建设，保证工程建设高效优质，保证建设资金的安全和有效使用以及投资效益，</w:t>
      </w:r>
      <w:r>
        <w:rPr>
          <w:rFonts w:hint="eastAsia" w:ascii="宋体" w:hAnsi="宋体" w:eastAsia="宋体" w:cs="宋体"/>
          <w:b w:val="0"/>
          <w:bCs w:val="0"/>
          <w:color w:val="000000" w:themeColor="text1"/>
          <w:kern w:val="0"/>
          <w:sz w:val="24"/>
          <w:szCs w:val="24"/>
          <w:highlight w:val="none"/>
          <w:u w:val="none"/>
          <w:lang w:val="en-US" w:eastAsia="zh-CN" w:bidi="ar"/>
          <w14:textFill>
            <w14:solidFill>
              <w14:schemeClr w14:val="tx1"/>
            </w14:solidFill>
          </w14:textFill>
        </w:rPr>
        <w:t>甲乙双方</w:t>
      </w:r>
      <w:r>
        <w:rPr>
          <w:rFonts w:hint="eastAsia" w:ascii="宋体" w:hAnsi="宋体" w:eastAsia="宋体" w:cs="宋体"/>
          <w:color w:val="000000" w:themeColor="text1"/>
          <w:sz w:val="24"/>
          <w:szCs w:val="24"/>
          <w:highlight w:val="none"/>
          <w:lang w:eastAsia="zh-CN"/>
          <w14:textFill>
            <w14:solidFill>
              <w14:schemeClr w14:val="tx1"/>
            </w14:solidFill>
          </w14:textFill>
        </w:rPr>
        <w:t>特订立如下合同。</w:t>
      </w:r>
    </w:p>
    <w:p w14:paraId="0B08306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 双方的权利和义务</w:t>
      </w:r>
    </w:p>
    <w:p w14:paraId="5B6F763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（1）严格遵守党的政策规定和国家有关法律法规及部门规章的有关规定。</w:t>
      </w:r>
    </w:p>
    <w:p w14:paraId="2D23611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（2）严格执行双方签订的系列合同文件，自觉按合同办事。</w:t>
      </w:r>
    </w:p>
    <w:p w14:paraId="0F8D81D6">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（3）双方的业务活动坚持公开、公正、诚信、透明的原则（法律认定的商业秘密和合同文件另有规定除外），不得损害国家和集体利益，不得违反工程建设管理规章制度。</w:t>
      </w:r>
    </w:p>
    <w:p w14:paraId="1E916FC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（4）建立健全廉政制度，开展廉政教育，设立廉政告示牌，公布举报电话，监督并认真查处违法违纪行为。</w:t>
      </w:r>
    </w:p>
    <w:p w14:paraId="393E70A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（5）发现对方在业务活动中有违反廉政规定的行为，有及时提醒对方纠正的权利和义务。</w:t>
      </w:r>
    </w:p>
    <w:p w14:paraId="40A5AF0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（6）发现对方严重违反本合同义务条款的行为，有向其上级有关部门举报、建议给予处理并要求告知处理结果的权利。</w:t>
      </w:r>
    </w:p>
    <w:p w14:paraId="021C206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 甲方的义务</w:t>
      </w:r>
    </w:p>
    <w:p w14:paraId="5938928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（1）甲方及其工作人员不得索要或接受乙方的礼金、有价证券和贵重物品，不得让乙方报销任何应由甲方或甲方工作人员个人支付的费用等。</w:t>
      </w:r>
    </w:p>
    <w:p w14:paraId="544FF9A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（2）甲方工作人员不得参加乙方安排的超标准宴请和娱乐活动；不得接受乙方提供的通信工具、交通工具和高档办公用品等。</w:t>
      </w:r>
    </w:p>
    <w:p w14:paraId="3C3026B4">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（3）甲方及其工作人员不得要求或者接受乙方为其住房装修、婚丧嫁娶活动、配偶子女的工作安排以及出国出境、旅游等提供方便等。</w:t>
      </w:r>
    </w:p>
    <w:p w14:paraId="16D2024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（4）甲方工作人员及其配偶、子女不得从事与甲方工程有关的材料设备供应、工程分包、劳务等经济活动等。</w:t>
      </w:r>
    </w:p>
    <w:p w14:paraId="2B65E3B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（5）甲方及其工作人员不得以任何理由向乙方推荐分包单位或推销材料。</w:t>
      </w:r>
    </w:p>
    <w:p w14:paraId="3EE4F99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（6）甲方工作人员要秉公办事，不准营私舞弊，不准利用职权从事各种个人有偿中介活动和安排个人施工队伍。</w:t>
      </w:r>
    </w:p>
    <w:p w14:paraId="00248D1E">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 乙方的义务</w:t>
      </w:r>
    </w:p>
    <w:p w14:paraId="5E3C0A5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（1）乙方不得以任何理由向甲方及其工作人员行贿或馈赠礼金、有价证券、贵重礼品。</w:t>
      </w:r>
    </w:p>
    <w:p w14:paraId="513A73D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（2）乙方不得以任何名义为甲方及其工作人员报销应由甲方单位或个人支付的任何费用。</w:t>
      </w:r>
    </w:p>
    <w:p w14:paraId="2A670DE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（3）乙方不得以任何理由安排甲方工作人员参加超标准宴请及娱乐活动。</w:t>
      </w:r>
    </w:p>
    <w:p w14:paraId="075DFB59">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（4）乙方不得为甲方单位和个人购置或提供通信工具、交通工具和高档办公用品等。</w:t>
      </w:r>
    </w:p>
    <w:p w14:paraId="7795B30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 违约责任</w:t>
      </w:r>
    </w:p>
    <w:p w14:paraId="6E605D6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（1）甲方及其工作人员违反本合同第1、2 条，按管理权限，依据有关规定给予党纪、政纪或组织处理；涉嫌犯罪的，移交司法机关追究刑事责任；给乙方单位造成经济损失的，应予以赔偿。</w:t>
      </w:r>
    </w:p>
    <w:p w14:paraId="69D2861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（2）乙方及其工作人员违反本合同第1、3 条，按管理权限，依据有关规定给予党纪、政纪或组织处理；给甲方单位造成经济损失的，应予以赔偿；情节严重的，甲方建议主管部门给予乙方一至三年内不得进入其主管的建设市场的处罚，并列入甲方限制交易名单管理系统。</w:t>
      </w:r>
    </w:p>
    <w:p w14:paraId="2F995BD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 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14:paraId="352127E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 本合同有效期为甲方和乙方签署之日起至分包工程项目竣工验收后止。</w:t>
      </w:r>
    </w:p>
    <w:p w14:paraId="1771227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7. 本合同作为分包合同的附件，与分包合同具有同等的法律效力，经合同双方签署后立即生效。</w:t>
      </w:r>
    </w:p>
    <w:p w14:paraId="18192A8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8. 本合同一式</w:t>
      </w:r>
      <w:permStart w:id="75"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permEnd w:id="75"/>
      <w:r>
        <w:rPr>
          <w:rFonts w:hint="eastAsia" w:ascii="宋体" w:hAnsi="宋体" w:eastAsia="宋体" w:cs="宋体"/>
          <w:color w:val="000000" w:themeColor="text1"/>
          <w:sz w:val="24"/>
          <w:szCs w:val="24"/>
          <w:highlight w:val="none"/>
          <w:lang w:eastAsia="zh-CN"/>
          <w14:textFill>
            <w14:solidFill>
              <w14:schemeClr w14:val="tx1"/>
            </w14:solidFill>
          </w14:textFill>
        </w:rPr>
        <w:t>份，由甲方和乙方各执</w:t>
      </w:r>
      <w:permStart w:id="76"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permEnd w:id="76"/>
      <w:r>
        <w:rPr>
          <w:rFonts w:hint="eastAsia" w:ascii="宋体" w:hAnsi="宋体" w:eastAsia="宋体" w:cs="宋体"/>
          <w:color w:val="000000" w:themeColor="text1"/>
          <w:sz w:val="24"/>
          <w:szCs w:val="24"/>
          <w:highlight w:val="none"/>
          <w:lang w:eastAsia="zh-CN"/>
          <w14:textFill>
            <w14:solidFill>
              <w14:schemeClr w14:val="tx1"/>
            </w14:solidFill>
          </w14:textFill>
        </w:rPr>
        <w:t>份。</w:t>
      </w:r>
    </w:p>
    <w:p w14:paraId="02531A7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6EFBFC73">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甲方：（盖单位章）</w:t>
      </w: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乙方：（盖单位章）</w:t>
      </w:r>
    </w:p>
    <w:p w14:paraId="7D8BD351">
      <w:pPr>
        <w:pStyle w:val="13"/>
        <w:keepNext w:val="0"/>
        <w:keepLines w:val="0"/>
        <w:pageBreakBefore w:val="0"/>
        <w:widowControl w:val="0"/>
        <w:kinsoku/>
        <w:wordWrap/>
        <w:overflowPunct/>
        <w:topLinePunct w:val="0"/>
        <w:bidi w:val="0"/>
        <w:adjustRightInd w:val="0"/>
        <w:snapToGrid w:val="0"/>
        <w:spacing w:before="0" w:after="0" w:line="480" w:lineRule="auto"/>
        <w:ind w:firstLine="480" w:firstLineChars="200"/>
        <w:textAlignment w:val="auto"/>
        <w:rPr>
          <w:rFonts w:hint="eastAsia"/>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kern w:val="2"/>
          <w:sz w:val="24"/>
          <w:szCs w:val="24"/>
          <w:highlight w:val="none"/>
          <w:lang w:val="en-US" w:eastAsia="zh-CN" w:bidi="ar-SA"/>
          <w14:textFill>
            <w14:solidFill>
              <w14:schemeClr w14:val="tx1"/>
            </w14:solidFill>
          </w14:textFill>
        </w:rPr>
        <w:t xml:space="preserve">法定代表人或其委托代理人：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5391AD20">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签订时间：</w:t>
      </w:r>
      <w:permStart w:id="77" w:edGrp="everyone"/>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日   </w:t>
      </w:r>
      <w:permEnd w:id="77"/>
    </w:p>
    <w:p w14:paraId="331A09C1">
      <w:pPr>
        <w:rPr>
          <w:rFonts w:hint="eastAsia" w:ascii="宋体" w:hAnsi="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br w:type="page"/>
      </w:r>
    </w:p>
    <w:p w14:paraId="487CEBF9">
      <w:pPr>
        <w:widowControl/>
        <w:adjustRightInd w:val="0"/>
        <w:snapToGrid w:val="0"/>
        <w:spacing w:line="440" w:lineRule="exact"/>
        <w:jc w:val="both"/>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t>附件</w:t>
      </w:r>
      <w:r>
        <w:rPr>
          <w:rFonts w:hint="eastAsia" w:cs="宋体"/>
          <w:b/>
          <w:color w:val="000000" w:themeColor="text1"/>
          <w:kern w:val="0"/>
          <w:sz w:val="24"/>
          <w:szCs w:val="24"/>
          <w:highlight w:val="none"/>
          <w:lang w:eastAsia="zh-CN"/>
          <w14:textFill>
            <w14:solidFill>
              <w14:schemeClr w14:val="tx1"/>
            </w14:solidFill>
          </w14:textFill>
        </w:rPr>
        <w:t>三</w:t>
      </w:r>
    </w:p>
    <w:p w14:paraId="6007DA07">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32"/>
          <w:szCs w:val="32"/>
          <w:highlight w:val="none"/>
          <w14:textFill>
            <w14:solidFill>
              <w14:schemeClr w14:val="tx1"/>
            </w14:solidFill>
          </w14:textFill>
        </w:rPr>
        <w:t>授权委托书</w:t>
      </w:r>
    </w:p>
    <w:p w14:paraId="29206F76">
      <w:pPr>
        <w:widowControl/>
        <w:adjustRightInd w:val="0"/>
        <w:snapToGrid w:val="0"/>
        <w:spacing w:line="440" w:lineRule="exact"/>
        <w:rPr>
          <w:rFonts w:hint="eastAsia" w:ascii="宋体" w:hAnsi="宋体" w:eastAsia="宋体" w:cs="宋体"/>
          <w:b/>
          <w:color w:val="000000" w:themeColor="text1"/>
          <w:kern w:val="0"/>
          <w:sz w:val="36"/>
          <w:szCs w:val="36"/>
          <w:highlight w:val="none"/>
          <w14:textFill>
            <w14:solidFill>
              <w14:schemeClr w14:val="tx1"/>
            </w14:solidFill>
          </w14:textFill>
        </w:rPr>
      </w:pPr>
    </w:p>
    <w:p w14:paraId="4148E41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kern w:val="0"/>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致</w:t>
      </w:r>
      <w:permStart w:id="78" w:edGrp="everyone"/>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78"/>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w:t>
      </w:r>
    </w:p>
    <w:p w14:paraId="2AC8DEB7">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本授权委托书声明：我</w:t>
      </w:r>
      <w:permStart w:id="79"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permEnd w:id="79"/>
      <w:r>
        <w:rPr>
          <w:rFonts w:hint="eastAsia" w:ascii="宋体" w:hAnsi="宋体" w:eastAsia="宋体" w:cs="宋体"/>
          <w:color w:val="000000" w:themeColor="text1"/>
          <w:kern w:val="0"/>
          <w:sz w:val="24"/>
          <w:szCs w:val="24"/>
          <w:highlight w:val="none"/>
          <w14:textFill>
            <w14:solidFill>
              <w14:schemeClr w14:val="tx1"/>
            </w14:solidFill>
          </w14:textFill>
        </w:rPr>
        <w:t>系</w:t>
      </w:r>
      <w:permStart w:id="80"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0"/>
      <w:r>
        <w:rPr>
          <w:rFonts w:hint="eastAsia" w:ascii="宋体" w:hAnsi="宋体" w:eastAsia="宋体" w:cs="宋体"/>
          <w:color w:val="000000" w:themeColor="text1"/>
          <w:kern w:val="0"/>
          <w:sz w:val="24"/>
          <w:szCs w:val="24"/>
          <w:highlight w:val="none"/>
          <w14:textFill>
            <w14:solidFill>
              <w14:schemeClr w14:val="tx1"/>
            </w14:solidFill>
          </w14:textFill>
        </w:rPr>
        <w:t>的法定代表人，现授权委托</w:t>
      </w:r>
      <w:permStart w:id="81"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1"/>
      <w:r>
        <w:rPr>
          <w:rFonts w:hint="eastAsia" w:ascii="宋体" w:hAnsi="宋体" w:eastAsia="宋体" w:cs="宋体"/>
          <w:color w:val="000000" w:themeColor="text1"/>
          <w:kern w:val="0"/>
          <w:sz w:val="24"/>
          <w:szCs w:val="24"/>
          <w:highlight w:val="none"/>
          <w14:textFill>
            <w14:solidFill>
              <w14:schemeClr w14:val="tx1"/>
            </w14:solidFill>
          </w14:textFill>
        </w:rPr>
        <w:t>（身份证号</w:t>
      </w:r>
      <w:permStart w:id="82"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2"/>
      <w:r>
        <w:rPr>
          <w:rFonts w:hint="eastAsia" w:ascii="宋体" w:hAnsi="宋体" w:eastAsia="宋体" w:cs="宋体"/>
          <w:color w:val="000000" w:themeColor="text1"/>
          <w:kern w:val="0"/>
          <w:sz w:val="24"/>
          <w:szCs w:val="24"/>
          <w:highlight w:val="none"/>
          <w14:textFill>
            <w14:solidFill>
              <w14:schemeClr w14:val="tx1"/>
            </w14:solidFill>
          </w14:textFill>
        </w:rPr>
        <w:t>）为我公司代理人，在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履行合同中有权以本公司名义与贵公司协商签署具有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合同性质的系列文件</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14:textFill>
            <w14:solidFill>
              <w14:schemeClr w14:val="tx1"/>
            </w14:solidFill>
          </w14:textFill>
        </w:rPr>
        <w:t>执行与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合同有关的一切事项，包括但不限于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签署投标文件、</w:t>
      </w:r>
      <w:r>
        <w:rPr>
          <w:rFonts w:hint="eastAsia" w:ascii="宋体" w:hAnsi="宋体" w:eastAsia="宋体" w:cs="宋体"/>
          <w:color w:val="000000" w:themeColor="text1"/>
          <w:kern w:val="0"/>
          <w:sz w:val="24"/>
          <w:szCs w:val="24"/>
          <w:highlight w:val="none"/>
          <w14:textFill>
            <w14:solidFill>
              <w14:schemeClr w14:val="tx1"/>
            </w14:solidFill>
          </w14:textFill>
        </w:rPr>
        <w:t>签订</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合同及</w:t>
      </w:r>
      <w:r>
        <w:rPr>
          <w:rFonts w:hint="eastAsia" w:ascii="宋体" w:hAnsi="宋体" w:eastAsia="宋体" w:cs="宋体"/>
          <w:color w:val="000000" w:themeColor="text1"/>
          <w:kern w:val="0"/>
          <w:sz w:val="24"/>
          <w:szCs w:val="24"/>
          <w:highlight w:val="none"/>
          <w14:textFill>
            <w14:solidFill>
              <w14:schemeClr w14:val="tx1"/>
            </w14:solidFill>
          </w14:textFill>
        </w:rPr>
        <w:t>补充（解除）协议，办理结算，签署会议纪要、变更指令、签证、通知（函）及具有经济价值的其他文书，决定工伤（亡）人员、侵权责任赔偿标准等事务。代理人的所有行为均代表本公司行为，由本公司承担代理人行为的全部法律责任和后果。</w:t>
      </w:r>
    </w:p>
    <w:p w14:paraId="1BADE47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特此委托。</w:t>
      </w:r>
    </w:p>
    <w:p w14:paraId="163B5A4B">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附代理人身份证复印件。</w:t>
      </w:r>
    </w:p>
    <w:p w14:paraId="325F3FFD">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p>
    <w:p w14:paraId="6EBB5D0B">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授权委托人（盖章）：</w:t>
      </w:r>
    </w:p>
    <w:p w14:paraId="18168BF5">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法定代表人（签名）：</w:t>
      </w:r>
    </w:p>
    <w:p w14:paraId="53650540">
      <w:pPr>
        <w:pStyle w:val="4"/>
        <w:keepNext w:val="0"/>
        <w:keepLines w:val="0"/>
        <w:pageBreakBefore w:val="0"/>
        <w:kinsoku/>
        <w:wordWrap/>
        <w:overflowPunct/>
        <w:topLinePunct w:val="0"/>
        <w:autoSpaceDE/>
        <w:autoSpaceDN/>
        <w:bidi w:val="0"/>
        <w:spacing w:after="0" w:line="480" w:lineRule="auto"/>
        <w:ind w:firstLine="4320" w:firstLineChars="1800"/>
        <w:textAlignment w:val="auto"/>
        <w:rPr>
          <w:rFonts w:hint="default" w:eastAsia="宋体"/>
          <w:lang w:val="en-US" w:eastAsia="zh-CN"/>
        </w:rPr>
      </w:pPr>
      <w:r>
        <w:rPr>
          <w:rFonts w:hint="eastAsia" w:ascii="宋体" w:hAnsi="宋体" w:cs="宋体"/>
          <w:color w:val="000000" w:themeColor="text1"/>
          <w:kern w:val="0"/>
          <w:sz w:val="24"/>
          <w:szCs w:val="24"/>
          <w:highlight w:val="none"/>
          <w:lang w:val="en-US" w:eastAsia="zh-CN"/>
          <w14:textFill>
            <w14:solidFill>
              <w14:schemeClr w14:val="tx1"/>
            </w14:solidFill>
          </w14:textFill>
        </w:rPr>
        <w:t>委托代理人</w:t>
      </w:r>
      <w:r>
        <w:rPr>
          <w:rFonts w:hint="eastAsia" w:ascii="宋体" w:hAnsi="宋体" w:eastAsia="宋体" w:cs="宋体"/>
          <w:color w:val="000000" w:themeColor="text1"/>
          <w:kern w:val="0"/>
          <w:sz w:val="24"/>
          <w:szCs w:val="24"/>
          <w:highlight w:val="none"/>
          <w14:textFill>
            <w14:solidFill>
              <w14:schemeClr w14:val="tx1"/>
            </w14:solidFill>
          </w14:textFill>
        </w:rPr>
        <w:t>（签名）</w:t>
      </w:r>
      <w:r>
        <w:rPr>
          <w:rFonts w:hint="eastAsia" w:ascii="宋体" w:hAnsi="宋体" w:cs="宋体"/>
          <w:color w:val="000000" w:themeColor="text1"/>
          <w:kern w:val="0"/>
          <w:sz w:val="24"/>
          <w:szCs w:val="24"/>
          <w:highlight w:val="none"/>
          <w:lang w:val="en-US" w:eastAsia="zh-CN"/>
          <w14:textFill>
            <w14:solidFill>
              <w14:schemeClr w14:val="tx1"/>
            </w14:solidFill>
          </w14:textFill>
        </w:rPr>
        <w:t>：</w:t>
      </w:r>
    </w:p>
    <w:p w14:paraId="2847AE88">
      <w:pPr>
        <w:pStyle w:val="4"/>
        <w:rPr>
          <w:rFonts w:hint="eastAsia"/>
        </w:rPr>
      </w:pPr>
    </w:p>
    <w:p w14:paraId="76A09305">
      <w:pPr>
        <w:keepNext w:val="0"/>
        <w:keepLines w:val="0"/>
        <w:pageBreakBefore w:val="0"/>
        <w:widowControl/>
        <w:kinsoku/>
        <w:wordWrap/>
        <w:overflowPunct/>
        <w:topLinePunct w:val="0"/>
        <w:autoSpaceDE/>
        <w:autoSpaceDN/>
        <w:bidi w:val="0"/>
        <w:adjustRightInd w:val="0"/>
        <w:snapToGrid w:val="0"/>
        <w:spacing w:line="360" w:lineRule="auto"/>
        <w:ind w:firstLine="6480" w:firstLineChars="2700"/>
        <w:textAlignment w:val="auto"/>
        <w:rPr>
          <w:rFonts w:hint="eastAsia" w:ascii="宋体" w:hAnsi="宋体" w:eastAsia="宋体" w:cs="宋体"/>
          <w:b/>
          <w:color w:val="000000" w:themeColor="text1"/>
          <w:kern w:val="0"/>
          <w:sz w:val="36"/>
          <w:szCs w:val="36"/>
          <w:highlight w:val="none"/>
          <w14:textFill>
            <w14:solidFill>
              <w14:schemeClr w14:val="tx1"/>
            </w14:solidFill>
          </w14:textFill>
        </w:rPr>
      </w:pPr>
      <w:permStart w:id="83" w:edGrp="everyone"/>
      <w:r>
        <w:rPr>
          <w:rFonts w:hint="eastAsia" w:ascii="宋体" w:hAnsi="宋体" w:eastAsia="宋体" w:cs="宋体"/>
          <w:color w:val="000000" w:themeColor="text1"/>
          <w:kern w:val="0"/>
          <w:sz w:val="24"/>
          <w:szCs w:val="24"/>
          <w:highlight w:val="none"/>
          <w14:textFill>
            <w14:solidFill>
              <w14:schemeClr w14:val="tx1"/>
            </w14:solidFill>
          </w14:textFill>
        </w:rPr>
        <w:t>年  月  日</w:t>
      </w:r>
    </w:p>
    <w:permEnd w:id="83"/>
    <w:p w14:paraId="08803D89">
      <w:pPr>
        <w:widowControl/>
        <w:adjustRightInd w:val="0"/>
        <w:snapToGrid w:val="0"/>
        <w:spacing w:line="440" w:lineRule="exact"/>
        <w:jc w:val="center"/>
        <w:rPr>
          <w:rFonts w:hint="eastAsia" w:ascii="宋体" w:hAnsi="宋体" w:eastAsia="宋体" w:cs="宋体"/>
          <w:b/>
          <w:color w:val="000000" w:themeColor="text1"/>
          <w:kern w:val="0"/>
          <w:sz w:val="36"/>
          <w:szCs w:val="36"/>
          <w:highlight w:val="none"/>
          <w14:textFill>
            <w14:solidFill>
              <w14:schemeClr w14:val="tx1"/>
            </w14:solidFill>
          </w14:textFill>
        </w:rPr>
      </w:pPr>
    </w:p>
    <w:p w14:paraId="67382E1F">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p>
    <w:p w14:paraId="21DE443B">
      <w:pPr>
        <w:adjustRightInd w:val="0"/>
        <w:snapToGrid w:val="0"/>
        <w:spacing w:line="480" w:lineRule="exact"/>
        <w:rPr>
          <w:color w:val="000000" w:themeColor="text1"/>
          <w:szCs w:val="24"/>
          <w:highlight w:val="none"/>
          <w14:textFill>
            <w14:solidFill>
              <w14:schemeClr w14:val="tx1"/>
            </w14:solidFill>
          </w14:textFill>
        </w:rPr>
      </w:pPr>
    </w:p>
    <w:sectPr>
      <w:footerReference r:id="rId5" w:type="default"/>
      <w:pgSz w:w="11906" w:h="16838"/>
      <w:pgMar w:top="1327" w:right="1106" w:bottom="1327" w:left="1633"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modern"/>
    <w:pitch w:val="default"/>
    <w:sig w:usb0="E00006FF" w:usb1="420024FF" w:usb2="02000000" w:usb3="00000000" w:csb0="2000019F" w:csb1="00000000"/>
  </w:font>
  <w:font w:name="Arial Narrow">
    <w:panose1 w:val="020B0606020202030204"/>
    <w:charset w:val="00"/>
    <w:family w:val="decorative"/>
    <w:pitch w:val="default"/>
    <w:sig w:usb0="00000287" w:usb1="00000800" w:usb2="00000000" w:usb3="00000000" w:csb0="2000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3D8A0">
    <w:pPr>
      <w:pStyle w:val="7"/>
    </w:pPr>
    <w:r>
      <w:rPr>
        <w:sz w:val="18"/>
      </w:rPr>
      <w:pict>
        <v:shape id="_x0000_s4102" o:spid="_x0000_s4102" o:spt="136" type="#_x0000_t136" style="position:absolute;left:0pt;margin-left:362.4pt;margin-top:471.65pt;height:48.3pt;width:148pt;mso-position-horizontal-relative:margin;mso-position-vertical-relative:margin;rotation:-2949120f;z-index:-25164697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3" o:spid="_x0000_s4103" o:spt="136" type="#_x0000_t136" style="position:absolute;left:0pt;margin-left:172.65pt;margin-top:441.65pt;height:48.3pt;width:148pt;mso-position-horizontal-relative:margin;mso-position-vertical-relative:margin;rotation:-2949120f;z-index:-25164902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PowerPlusWaterMarkObject42738" o:spid="_x0000_s4104" o:spt="136" type="#_x0000_t136" style="position:absolute;left:0pt;margin-left:-14.1pt;margin-top:419.15pt;height:48.3pt;width:148pt;mso-position-horizontal-relative:margin;mso-position-vertical-relative:margin;rotation:-2949120f;z-index:-25165516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C8C77">
    <w:pPr>
      <w:pStyle w:val="7"/>
    </w:pPr>
    <w:r>
      <w:rPr>
        <w:sz w:val="18"/>
      </w:rPr>
      <w:pict>
        <v:shape id="_x0000_s4105" o:spid="_x0000_s4105" o:spt="136" type="#_x0000_t136" style="position:absolute;left:0pt;margin-left:363.9pt;margin-top:497.9pt;height:48.3pt;width:148pt;mso-position-horizontal-relative:margin;mso-position-vertical-relative:margin;rotation:-2949120f;z-index:-25165107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6" o:spid="_x0000_s4106" o:spt="136" type="#_x0000_t136" style="position:absolute;left:0pt;margin-left:172.05pt;margin-top:232.05pt;height:48.3pt;width:148pt;mso-position-horizontal-relative:margin;mso-position-vertical-relative:margin;rotation:-2949120f;z-index:-25164390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7" o:spid="_x0000_s4107" o:spt="136" type="#_x0000_t136" style="position:absolute;left:0pt;margin-left:177.3pt;margin-top:442.05pt;height:48.3pt;width:148pt;mso-position-horizontal-relative:margin;mso-position-vertical-relative:margin;rotation:-2949120f;z-index:-25164492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8" o:spid="_x0000_s4108" o:spt="136" type="#_x0000_t136" style="position:absolute;left:0pt;margin-left:-30.6pt;margin-top:412.4pt;height:48.3pt;width:148pt;mso-position-horizontal-relative:margin;mso-position-vertical-relative:margin;rotation:-2949120f;z-index:-25164595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49766">
    <w:pPr>
      <w:pStyle w:val="8"/>
    </w:pPr>
    <w:r>
      <w:rPr>
        <w:sz w:val="18"/>
      </w:rPr>
      <w:pict>
        <v:shape id="_x0000_s4097" o:spid="_x0000_s4097" o:spt="136" type="#_x0000_t136" style="position:absolute;left:0pt;margin-left:384.15pt;margin-top:236.9pt;height:48.3pt;width:148pt;mso-position-horizontal-relative:margin;mso-position-vertical-relative:margin;rotation:-2949120f;z-index:-25164800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8" o:spid="_x0000_s4098" o:spt="136" type="#_x0000_t136" style="position:absolute;left:0pt;margin-left:354.9pt;margin-top:42.65pt;height:48.3pt;width:148pt;mso-position-horizontal-relative:margin;mso-position-vertical-relative:margin;rotation:-2949120f;z-index:-25165004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9" o:spid="_x0000_s4099" o:spt="136" type="#_x0000_t136" style="position:absolute;left:0pt;margin-left:168.9pt;margin-top:19.4pt;height:48.3pt;width:148pt;mso-position-horizontal-relative:margin;mso-position-vertical-relative:margin;rotation:-2949120f;z-index:-25165209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0" o:spid="_x0000_s4100" o:spt="136" type="#_x0000_t136" style="position:absolute;left:0pt;margin-left:-13.35pt;margin-top:208.4pt;height:48.3pt;width:148pt;mso-position-horizontal-relative:margin;mso-position-vertical-relative:margin;rotation:-2949120f;z-index:-25165312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1" o:spid="_x0000_s4101" o:spt="136" type="#_x0000_t136" style="position:absolute;left:0pt;margin-left:-11.1pt;margin-top:13.4pt;height:48.3pt;width:148pt;mso-position-horizontal-relative:margin;mso-position-vertical-relative:margin;rotation:-2949120f;z-index:-25165414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dit="readOnly" w:enforcement="1" w:cryptProviderType="rsaFull" w:cryptAlgorithmClass="hash" w:cryptAlgorithmType="typeAny" w:cryptAlgorithmSid="4" w:cryptSpinCount="0" w:hash="bZv/NctloYr/joWzOlhl+n/HQS8=" w:salt="OegVdkn/1B13+1J16Gt0SA=="/>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hNzlkMmZmNDZjODVmYjRhYTc3ZjIzNTkwZDVjZjgifQ=="/>
  </w:docVars>
  <w:rsids>
    <w:rsidRoot w:val="00172A27"/>
    <w:rsid w:val="00000788"/>
    <w:rsid w:val="00011A9F"/>
    <w:rsid w:val="00015F05"/>
    <w:rsid w:val="00042247"/>
    <w:rsid w:val="00050C76"/>
    <w:rsid w:val="00050D90"/>
    <w:rsid w:val="0006452D"/>
    <w:rsid w:val="00070FC1"/>
    <w:rsid w:val="00072F8F"/>
    <w:rsid w:val="00077607"/>
    <w:rsid w:val="00077C27"/>
    <w:rsid w:val="00080228"/>
    <w:rsid w:val="000A14E6"/>
    <w:rsid w:val="000A5080"/>
    <w:rsid w:val="000A7C8E"/>
    <w:rsid w:val="000D6F51"/>
    <w:rsid w:val="000F7C9D"/>
    <w:rsid w:val="0010021E"/>
    <w:rsid w:val="00110497"/>
    <w:rsid w:val="0011111D"/>
    <w:rsid w:val="00114503"/>
    <w:rsid w:val="001339D9"/>
    <w:rsid w:val="001365C6"/>
    <w:rsid w:val="0014563A"/>
    <w:rsid w:val="00152DEF"/>
    <w:rsid w:val="001550D5"/>
    <w:rsid w:val="00156544"/>
    <w:rsid w:val="0016412E"/>
    <w:rsid w:val="00166A04"/>
    <w:rsid w:val="00172A27"/>
    <w:rsid w:val="0017656A"/>
    <w:rsid w:val="00177DA6"/>
    <w:rsid w:val="001806F9"/>
    <w:rsid w:val="001877BC"/>
    <w:rsid w:val="00187B68"/>
    <w:rsid w:val="001909D1"/>
    <w:rsid w:val="00191146"/>
    <w:rsid w:val="00192C65"/>
    <w:rsid w:val="001A0851"/>
    <w:rsid w:val="001A2B13"/>
    <w:rsid w:val="001A7D32"/>
    <w:rsid w:val="001B12DC"/>
    <w:rsid w:val="001B18E5"/>
    <w:rsid w:val="001B2AB2"/>
    <w:rsid w:val="001C08CE"/>
    <w:rsid w:val="001C4DD7"/>
    <w:rsid w:val="001D6CB9"/>
    <w:rsid w:val="001E43A8"/>
    <w:rsid w:val="001E4C30"/>
    <w:rsid w:val="001F04D6"/>
    <w:rsid w:val="002050A8"/>
    <w:rsid w:val="002103C5"/>
    <w:rsid w:val="00210E9D"/>
    <w:rsid w:val="0021252F"/>
    <w:rsid w:val="00217515"/>
    <w:rsid w:val="002223BC"/>
    <w:rsid w:val="00225ED8"/>
    <w:rsid w:val="00231570"/>
    <w:rsid w:val="00232345"/>
    <w:rsid w:val="00251FD7"/>
    <w:rsid w:val="002533B0"/>
    <w:rsid w:val="00257946"/>
    <w:rsid w:val="00260E91"/>
    <w:rsid w:val="002753BC"/>
    <w:rsid w:val="002843BA"/>
    <w:rsid w:val="00290469"/>
    <w:rsid w:val="002A4619"/>
    <w:rsid w:val="002A535A"/>
    <w:rsid w:val="002B3EBD"/>
    <w:rsid w:val="002B4D3A"/>
    <w:rsid w:val="002B7CD0"/>
    <w:rsid w:val="002C4696"/>
    <w:rsid w:val="002D1F0D"/>
    <w:rsid w:val="002D4705"/>
    <w:rsid w:val="002D565B"/>
    <w:rsid w:val="002E78CB"/>
    <w:rsid w:val="002F6102"/>
    <w:rsid w:val="00303724"/>
    <w:rsid w:val="0033706F"/>
    <w:rsid w:val="00337FED"/>
    <w:rsid w:val="003448B2"/>
    <w:rsid w:val="00346887"/>
    <w:rsid w:val="003731D6"/>
    <w:rsid w:val="0038580A"/>
    <w:rsid w:val="003A0232"/>
    <w:rsid w:val="003A327F"/>
    <w:rsid w:val="003A70B5"/>
    <w:rsid w:val="003A75ED"/>
    <w:rsid w:val="003B5778"/>
    <w:rsid w:val="003B6044"/>
    <w:rsid w:val="003C4A38"/>
    <w:rsid w:val="003D2C7B"/>
    <w:rsid w:val="003F3AE3"/>
    <w:rsid w:val="00402A21"/>
    <w:rsid w:val="00403325"/>
    <w:rsid w:val="004040AA"/>
    <w:rsid w:val="00404DF4"/>
    <w:rsid w:val="00406377"/>
    <w:rsid w:val="00411C7B"/>
    <w:rsid w:val="00420A9B"/>
    <w:rsid w:val="0042433E"/>
    <w:rsid w:val="00426931"/>
    <w:rsid w:val="00426A19"/>
    <w:rsid w:val="004346B1"/>
    <w:rsid w:val="00445213"/>
    <w:rsid w:val="00446152"/>
    <w:rsid w:val="00446720"/>
    <w:rsid w:val="00453BDA"/>
    <w:rsid w:val="00453F3F"/>
    <w:rsid w:val="00457ECF"/>
    <w:rsid w:val="00460086"/>
    <w:rsid w:val="00462CEF"/>
    <w:rsid w:val="004742C5"/>
    <w:rsid w:val="004931A1"/>
    <w:rsid w:val="00497DC9"/>
    <w:rsid w:val="004B1ECD"/>
    <w:rsid w:val="004F6F39"/>
    <w:rsid w:val="00504481"/>
    <w:rsid w:val="005243E3"/>
    <w:rsid w:val="00524548"/>
    <w:rsid w:val="00532737"/>
    <w:rsid w:val="00535BD8"/>
    <w:rsid w:val="00542496"/>
    <w:rsid w:val="0055023F"/>
    <w:rsid w:val="00553E93"/>
    <w:rsid w:val="0056031A"/>
    <w:rsid w:val="0056570E"/>
    <w:rsid w:val="00565F22"/>
    <w:rsid w:val="0057482C"/>
    <w:rsid w:val="00583AC4"/>
    <w:rsid w:val="005906A3"/>
    <w:rsid w:val="005A1FD5"/>
    <w:rsid w:val="005A6685"/>
    <w:rsid w:val="005D585A"/>
    <w:rsid w:val="005E5F2D"/>
    <w:rsid w:val="005F035B"/>
    <w:rsid w:val="005F3733"/>
    <w:rsid w:val="00600DE7"/>
    <w:rsid w:val="00612D5E"/>
    <w:rsid w:val="006145EE"/>
    <w:rsid w:val="0063067F"/>
    <w:rsid w:val="00640E79"/>
    <w:rsid w:val="00647833"/>
    <w:rsid w:val="00663900"/>
    <w:rsid w:val="00665FD6"/>
    <w:rsid w:val="00666F3C"/>
    <w:rsid w:val="0067093E"/>
    <w:rsid w:val="00676373"/>
    <w:rsid w:val="00677060"/>
    <w:rsid w:val="0068029B"/>
    <w:rsid w:val="00690E23"/>
    <w:rsid w:val="00692A4B"/>
    <w:rsid w:val="006A760A"/>
    <w:rsid w:val="006A772E"/>
    <w:rsid w:val="006B03FB"/>
    <w:rsid w:val="006C015A"/>
    <w:rsid w:val="006C06E1"/>
    <w:rsid w:val="006C3E06"/>
    <w:rsid w:val="006D15A9"/>
    <w:rsid w:val="006E0CA4"/>
    <w:rsid w:val="007014B1"/>
    <w:rsid w:val="00705C05"/>
    <w:rsid w:val="00706303"/>
    <w:rsid w:val="00711093"/>
    <w:rsid w:val="0072612D"/>
    <w:rsid w:val="00741188"/>
    <w:rsid w:val="00742508"/>
    <w:rsid w:val="0074496E"/>
    <w:rsid w:val="007542A0"/>
    <w:rsid w:val="0076657D"/>
    <w:rsid w:val="007668F8"/>
    <w:rsid w:val="00770BB2"/>
    <w:rsid w:val="00782012"/>
    <w:rsid w:val="00785366"/>
    <w:rsid w:val="0079159A"/>
    <w:rsid w:val="007A0C96"/>
    <w:rsid w:val="007A5F3C"/>
    <w:rsid w:val="007C4759"/>
    <w:rsid w:val="007C764A"/>
    <w:rsid w:val="007D1D53"/>
    <w:rsid w:val="007D53FE"/>
    <w:rsid w:val="007E66D9"/>
    <w:rsid w:val="007F4A55"/>
    <w:rsid w:val="007F5956"/>
    <w:rsid w:val="00814580"/>
    <w:rsid w:val="00815AC0"/>
    <w:rsid w:val="008330EA"/>
    <w:rsid w:val="00837A91"/>
    <w:rsid w:val="008559B3"/>
    <w:rsid w:val="008652EC"/>
    <w:rsid w:val="008777FB"/>
    <w:rsid w:val="00884FDE"/>
    <w:rsid w:val="00886E7D"/>
    <w:rsid w:val="008922A1"/>
    <w:rsid w:val="008942EA"/>
    <w:rsid w:val="008A5C28"/>
    <w:rsid w:val="008C2FEB"/>
    <w:rsid w:val="008D2F8E"/>
    <w:rsid w:val="00906104"/>
    <w:rsid w:val="00906667"/>
    <w:rsid w:val="009119E0"/>
    <w:rsid w:val="00933161"/>
    <w:rsid w:val="00945843"/>
    <w:rsid w:val="009674CD"/>
    <w:rsid w:val="00974C9B"/>
    <w:rsid w:val="00984C55"/>
    <w:rsid w:val="0099088D"/>
    <w:rsid w:val="00993AC2"/>
    <w:rsid w:val="009A029F"/>
    <w:rsid w:val="009B0C6D"/>
    <w:rsid w:val="009B53A8"/>
    <w:rsid w:val="009C3A86"/>
    <w:rsid w:val="009C3E1E"/>
    <w:rsid w:val="009D50A7"/>
    <w:rsid w:val="009E0593"/>
    <w:rsid w:val="009F4C1F"/>
    <w:rsid w:val="00A13685"/>
    <w:rsid w:val="00A1572D"/>
    <w:rsid w:val="00A17409"/>
    <w:rsid w:val="00A32851"/>
    <w:rsid w:val="00A4320E"/>
    <w:rsid w:val="00A47B67"/>
    <w:rsid w:val="00A5118B"/>
    <w:rsid w:val="00A60D3C"/>
    <w:rsid w:val="00A65BFA"/>
    <w:rsid w:val="00A66467"/>
    <w:rsid w:val="00A6697C"/>
    <w:rsid w:val="00A74741"/>
    <w:rsid w:val="00A7666A"/>
    <w:rsid w:val="00A84667"/>
    <w:rsid w:val="00A96FCF"/>
    <w:rsid w:val="00AA5B3D"/>
    <w:rsid w:val="00AA65D0"/>
    <w:rsid w:val="00AB330E"/>
    <w:rsid w:val="00AB66E3"/>
    <w:rsid w:val="00AC02B2"/>
    <w:rsid w:val="00AC36EE"/>
    <w:rsid w:val="00AD5C62"/>
    <w:rsid w:val="00AE31E7"/>
    <w:rsid w:val="00AE54D9"/>
    <w:rsid w:val="00B01D42"/>
    <w:rsid w:val="00B05AFC"/>
    <w:rsid w:val="00B1707F"/>
    <w:rsid w:val="00B23A9A"/>
    <w:rsid w:val="00B420AF"/>
    <w:rsid w:val="00B42962"/>
    <w:rsid w:val="00B5050E"/>
    <w:rsid w:val="00B53F3D"/>
    <w:rsid w:val="00B645B0"/>
    <w:rsid w:val="00B66825"/>
    <w:rsid w:val="00B67664"/>
    <w:rsid w:val="00B731D0"/>
    <w:rsid w:val="00B827A3"/>
    <w:rsid w:val="00B840F8"/>
    <w:rsid w:val="00B90154"/>
    <w:rsid w:val="00B94F4F"/>
    <w:rsid w:val="00B95E60"/>
    <w:rsid w:val="00BA19FF"/>
    <w:rsid w:val="00BA37E5"/>
    <w:rsid w:val="00BA46C3"/>
    <w:rsid w:val="00BB3F39"/>
    <w:rsid w:val="00BD2CAC"/>
    <w:rsid w:val="00BD444A"/>
    <w:rsid w:val="00BE06EA"/>
    <w:rsid w:val="00BE27DD"/>
    <w:rsid w:val="00BF5EFA"/>
    <w:rsid w:val="00C029B9"/>
    <w:rsid w:val="00C34E25"/>
    <w:rsid w:val="00C37DBB"/>
    <w:rsid w:val="00C4351C"/>
    <w:rsid w:val="00C439F2"/>
    <w:rsid w:val="00C46D77"/>
    <w:rsid w:val="00C534AC"/>
    <w:rsid w:val="00C56A8D"/>
    <w:rsid w:val="00C65DC4"/>
    <w:rsid w:val="00C81842"/>
    <w:rsid w:val="00C82102"/>
    <w:rsid w:val="00CD3093"/>
    <w:rsid w:val="00CD4470"/>
    <w:rsid w:val="00CD63EE"/>
    <w:rsid w:val="00CE2497"/>
    <w:rsid w:val="00CE25DE"/>
    <w:rsid w:val="00CE5D06"/>
    <w:rsid w:val="00CF27B9"/>
    <w:rsid w:val="00D07476"/>
    <w:rsid w:val="00D10EF5"/>
    <w:rsid w:val="00D1555F"/>
    <w:rsid w:val="00D263BC"/>
    <w:rsid w:val="00D5169A"/>
    <w:rsid w:val="00D5431A"/>
    <w:rsid w:val="00D57EBF"/>
    <w:rsid w:val="00D671F4"/>
    <w:rsid w:val="00D67B13"/>
    <w:rsid w:val="00D771C7"/>
    <w:rsid w:val="00D81569"/>
    <w:rsid w:val="00DA1817"/>
    <w:rsid w:val="00DA2A81"/>
    <w:rsid w:val="00DB0911"/>
    <w:rsid w:val="00DB1FD6"/>
    <w:rsid w:val="00DB256C"/>
    <w:rsid w:val="00DD2E7C"/>
    <w:rsid w:val="00DD494B"/>
    <w:rsid w:val="00DD620E"/>
    <w:rsid w:val="00DE0458"/>
    <w:rsid w:val="00DE0A3C"/>
    <w:rsid w:val="00DE479E"/>
    <w:rsid w:val="00DE70A3"/>
    <w:rsid w:val="00DE72BC"/>
    <w:rsid w:val="00E01485"/>
    <w:rsid w:val="00E167D9"/>
    <w:rsid w:val="00E32926"/>
    <w:rsid w:val="00E37424"/>
    <w:rsid w:val="00E46CB8"/>
    <w:rsid w:val="00E51162"/>
    <w:rsid w:val="00E53270"/>
    <w:rsid w:val="00E54CCB"/>
    <w:rsid w:val="00E62B7E"/>
    <w:rsid w:val="00E87908"/>
    <w:rsid w:val="00E92066"/>
    <w:rsid w:val="00E92967"/>
    <w:rsid w:val="00E94501"/>
    <w:rsid w:val="00E96A13"/>
    <w:rsid w:val="00EA15D4"/>
    <w:rsid w:val="00EA18CA"/>
    <w:rsid w:val="00EA4370"/>
    <w:rsid w:val="00EC7695"/>
    <w:rsid w:val="00EE5F81"/>
    <w:rsid w:val="00EE6C59"/>
    <w:rsid w:val="00EF2215"/>
    <w:rsid w:val="00F039B8"/>
    <w:rsid w:val="00F07672"/>
    <w:rsid w:val="00F12059"/>
    <w:rsid w:val="00F20A06"/>
    <w:rsid w:val="00F241A0"/>
    <w:rsid w:val="00F3375F"/>
    <w:rsid w:val="00F41391"/>
    <w:rsid w:val="00F67B7B"/>
    <w:rsid w:val="00F842C3"/>
    <w:rsid w:val="00FA1245"/>
    <w:rsid w:val="00FC0B61"/>
    <w:rsid w:val="00FC3B48"/>
    <w:rsid w:val="00FD3485"/>
    <w:rsid w:val="00FD5103"/>
    <w:rsid w:val="01167E2F"/>
    <w:rsid w:val="011F03E0"/>
    <w:rsid w:val="014A4A7F"/>
    <w:rsid w:val="015641B8"/>
    <w:rsid w:val="015D590D"/>
    <w:rsid w:val="01695BEA"/>
    <w:rsid w:val="01833D31"/>
    <w:rsid w:val="01997D3F"/>
    <w:rsid w:val="019A24B1"/>
    <w:rsid w:val="01CF3C94"/>
    <w:rsid w:val="01ED6655"/>
    <w:rsid w:val="01F51732"/>
    <w:rsid w:val="02036D57"/>
    <w:rsid w:val="022079B4"/>
    <w:rsid w:val="023E6D40"/>
    <w:rsid w:val="02442FC4"/>
    <w:rsid w:val="0276761D"/>
    <w:rsid w:val="02881BFB"/>
    <w:rsid w:val="028C1FC0"/>
    <w:rsid w:val="028F5109"/>
    <w:rsid w:val="02C344F9"/>
    <w:rsid w:val="02ED531F"/>
    <w:rsid w:val="030D0AB0"/>
    <w:rsid w:val="03286274"/>
    <w:rsid w:val="033876BC"/>
    <w:rsid w:val="03700DEF"/>
    <w:rsid w:val="03A13413"/>
    <w:rsid w:val="03C2597F"/>
    <w:rsid w:val="03C62346"/>
    <w:rsid w:val="03DF5413"/>
    <w:rsid w:val="03E6617C"/>
    <w:rsid w:val="03E93C18"/>
    <w:rsid w:val="03FD1E39"/>
    <w:rsid w:val="03FF7E4A"/>
    <w:rsid w:val="044D0060"/>
    <w:rsid w:val="045A0DFC"/>
    <w:rsid w:val="045A1B37"/>
    <w:rsid w:val="04843C9B"/>
    <w:rsid w:val="0485767B"/>
    <w:rsid w:val="048D13B9"/>
    <w:rsid w:val="04BB3963"/>
    <w:rsid w:val="04C904B8"/>
    <w:rsid w:val="04FC4156"/>
    <w:rsid w:val="05131B0A"/>
    <w:rsid w:val="051E56CE"/>
    <w:rsid w:val="05505391"/>
    <w:rsid w:val="056F0AF9"/>
    <w:rsid w:val="05852E73"/>
    <w:rsid w:val="05C018A2"/>
    <w:rsid w:val="06377363"/>
    <w:rsid w:val="064C22C5"/>
    <w:rsid w:val="067042FC"/>
    <w:rsid w:val="06F1660F"/>
    <w:rsid w:val="06F25ACF"/>
    <w:rsid w:val="07027C9B"/>
    <w:rsid w:val="07604F3A"/>
    <w:rsid w:val="07BB3082"/>
    <w:rsid w:val="07D14A60"/>
    <w:rsid w:val="07EE6964"/>
    <w:rsid w:val="083B668E"/>
    <w:rsid w:val="085D5E4B"/>
    <w:rsid w:val="08611111"/>
    <w:rsid w:val="087757FD"/>
    <w:rsid w:val="089720B1"/>
    <w:rsid w:val="08A871E5"/>
    <w:rsid w:val="08AF3232"/>
    <w:rsid w:val="08B53BB1"/>
    <w:rsid w:val="08C51BE5"/>
    <w:rsid w:val="08F1699A"/>
    <w:rsid w:val="09480913"/>
    <w:rsid w:val="0949060F"/>
    <w:rsid w:val="09510A7C"/>
    <w:rsid w:val="09555902"/>
    <w:rsid w:val="096704F8"/>
    <w:rsid w:val="096837DF"/>
    <w:rsid w:val="096E3A0C"/>
    <w:rsid w:val="098E7EE0"/>
    <w:rsid w:val="09A63C90"/>
    <w:rsid w:val="09C8124A"/>
    <w:rsid w:val="09DD0BA4"/>
    <w:rsid w:val="09EC35EB"/>
    <w:rsid w:val="09F559B3"/>
    <w:rsid w:val="0A005877"/>
    <w:rsid w:val="0A17087E"/>
    <w:rsid w:val="0A1B5312"/>
    <w:rsid w:val="0A271791"/>
    <w:rsid w:val="0A287137"/>
    <w:rsid w:val="0A2F2EAC"/>
    <w:rsid w:val="0A905A1A"/>
    <w:rsid w:val="0AA02B7F"/>
    <w:rsid w:val="0ACF6B2D"/>
    <w:rsid w:val="0AD26A99"/>
    <w:rsid w:val="0AE2630B"/>
    <w:rsid w:val="0AFF0756"/>
    <w:rsid w:val="0B287EF2"/>
    <w:rsid w:val="0B291B70"/>
    <w:rsid w:val="0B342048"/>
    <w:rsid w:val="0B493E61"/>
    <w:rsid w:val="0B5843AD"/>
    <w:rsid w:val="0B5E4969"/>
    <w:rsid w:val="0B6A1369"/>
    <w:rsid w:val="0B8406B8"/>
    <w:rsid w:val="0BA440CB"/>
    <w:rsid w:val="0BC91A50"/>
    <w:rsid w:val="0BDE3BCB"/>
    <w:rsid w:val="0BE22FAA"/>
    <w:rsid w:val="0BE32B40"/>
    <w:rsid w:val="0BED0A26"/>
    <w:rsid w:val="0BF811DF"/>
    <w:rsid w:val="0C144216"/>
    <w:rsid w:val="0C693439"/>
    <w:rsid w:val="0C811890"/>
    <w:rsid w:val="0C877876"/>
    <w:rsid w:val="0C8E6D05"/>
    <w:rsid w:val="0C914A28"/>
    <w:rsid w:val="0CAE2233"/>
    <w:rsid w:val="0CBD074E"/>
    <w:rsid w:val="0CE25896"/>
    <w:rsid w:val="0CE8415F"/>
    <w:rsid w:val="0CEE6B82"/>
    <w:rsid w:val="0D1C2626"/>
    <w:rsid w:val="0D2A0BA7"/>
    <w:rsid w:val="0D2C3DAE"/>
    <w:rsid w:val="0D306777"/>
    <w:rsid w:val="0D5F51A5"/>
    <w:rsid w:val="0D861464"/>
    <w:rsid w:val="0D8E3D25"/>
    <w:rsid w:val="0D98141D"/>
    <w:rsid w:val="0DC06C57"/>
    <w:rsid w:val="0DD365DD"/>
    <w:rsid w:val="0DD71762"/>
    <w:rsid w:val="0DDF3167"/>
    <w:rsid w:val="0DFF2E46"/>
    <w:rsid w:val="0E380EC7"/>
    <w:rsid w:val="0E4E5343"/>
    <w:rsid w:val="0E69094A"/>
    <w:rsid w:val="0E9953A0"/>
    <w:rsid w:val="0E9F16C8"/>
    <w:rsid w:val="0EC57E97"/>
    <w:rsid w:val="0ED9579C"/>
    <w:rsid w:val="0EE92F84"/>
    <w:rsid w:val="0F3670D6"/>
    <w:rsid w:val="0F5128A9"/>
    <w:rsid w:val="0F8A0F55"/>
    <w:rsid w:val="0FA96BAC"/>
    <w:rsid w:val="10101BE9"/>
    <w:rsid w:val="10180AFC"/>
    <w:rsid w:val="10200A82"/>
    <w:rsid w:val="10431F22"/>
    <w:rsid w:val="106A4393"/>
    <w:rsid w:val="109E7152"/>
    <w:rsid w:val="10CF7F61"/>
    <w:rsid w:val="10E4694E"/>
    <w:rsid w:val="10EC07A1"/>
    <w:rsid w:val="110C41A9"/>
    <w:rsid w:val="1116076B"/>
    <w:rsid w:val="1129634F"/>
    <w:rsid w:val="112C007A"/>
    <w:rsid w:val="11374397"/>
    <w:rsid w:val="11475DC8"/>
    <w:rsid w:val="116B4AB6"/>
    <w:rsid w:val="116E1CD7"/>
    <w:rsid w:val="11A43787"/>
    <w:rsid w:val="11B12A00"/>
    <w:rsid w:val="11B4415A"/>
    <w:rsid w:val="11BA7726"/>
    <w:rsid w:val="11C16A13"/>
    <w:rsid w:val="11C56B37"/>
    <w:rsid w:val="11CC6725"/>
    <w:rsid w:val="11DC67DA"/>
    <w:rsid w:val="11DF5B9C"/>
    <w:rsid w:val="11E86971"/>
    <w:rsid w:val="12140B5F"/>
    <w:rsid w:val="1218145B"/>
    <w:rsid w:val="12482C32"/>
    <w:rsid w:val="125A0499"/>
    <w:rsid w:val="12775F8E"/>
    <w:rsid w:val="128731C1"/>
    <w:rsid w:val="12C1327D"/>
    <w:rsid w:val="13163F99"/>
    <w:rsid w:val="13183FE3"/>
    <w:rsid w:val="132D0FDD"/>
    <w:rsid w:val="13582389"/>
    <w:rsid w:val="139A34DD"/>
    <w:rsid w:val="13A21C5F"/>
    <w:rsid w:val="13C40A79"/>
    <w:rsid w:val="13CD3560"/>
    <w:rsid w:val="13D8202C"/>
    <w:rsid w:val="13E2319E"/>
    <w:rsid w:val="140E4A9D"/>
    <w:rsid w:val="14565BE9"/>
    <w:rsid w:val="14622E17"/>
    <w:rsid w:val="14832A4A"/>
    <w:rsid w:val="1488161F"/>
    <w:rsid w:val="14BA233F"/>
    <w:rsid w:val="14D77F4F"/>
    <w:rsid w:val="15072B9D"/>
    <w:rsid w:val="152319B4"/>
    <w:rsid w:val="15416529"/>
    <w:rsid w:val="15450608"/>
    <w:rsid w:val="154562B7"/>
    <w:rsid w:val="15537FD8"/>
    <w:rsid w:val="156C15E0"/>
    <w:rsid w:val="1578071A"/>
    <w:rsid w:val="1580696E"/>
    <w:rsid w:val="1587563F"/>
    <w:rsid w:val="159E3B4D"/>
    <w:rsid w:val="15B45897"/>
    <w:rsid w:val="15BF63B7"/>
    <w:rsid w:val="15F6694E"/>
    <w:rsid w:val="15F874DA"/>
    <w:rsid w:val="15FF4E19"/>
    <w:rsid w:val="1601613E"/>
    <w:rsid w:val="162369BF"/>
    <w:rsid w:val="162F7F8D"/>
    <w:rsid w:val="167D6873"/>
    <w:rsid w:val="16903139"/>
    <w:rsid w:val="169E3565"/>
    <w:rsid w:val="16C506D0"/>
    <w:rsid w:val="16F26229"/>
    <w:rsid w:val="16FD4D81"/>
    <w:rsid w:val="17260DF3"/>
    <w:rsid w:val="172C20FB"/>
    <w:rsid w:val="17304EFA"/>
    <w:rsid w:val="174B5B3A"/>
    <w:rsid w:val="174C3EE9"/>
    <w:rsid w:val="175E1F2D"/>
    <w:rsid w:val="17880023"/>
    <w:rsid w:val="17974348"/>
    <w:rsid w:val="17C543B3"/>
    <w:rsid w:val="17D37545"/>
    <w:rsid w:val="17E17C3D"/>
    <w:rsid w:val="18194887"/>
    <w:rsid w:val="18425A4F"/>
    <w:rsid w:val="185425D0"/>
    <w:rsid w:val="185F4F64"/>
    <w:rsid w:val="18726BD0"/>
    <w:rsid w:val="18A57702"/>
    <w:rsid w:val="18B367B9"/>
    <w:rsid w:val="18CD583E"/>
    <w:rsid w:val="18CE58A3"/>
    <w:rsid w:val="18F347FB"/>
    <w:rsid w:val="18F77DA9"/>
    <w:rsid w:val="193E62C6"/>
    <w:rsid w:val="194A7F72"/>
    <w:rsid w:val="194C425D"/>
    <w:rsid w:val="19583154"/>
    <w:rsid w:val="19657BDC"/>
    <w:rsid w:val="19BF7E99"/>
    <w:rsid w:val="19E9230E"/>
    <w:rsid w:val="19F64969"/>
    <w:rsid w:val="1A175604"/>
    <w:rsid w:val="1A1D5F83"/>
    <w:rsid w:val="1A2E4682"/>
    <w:rsid w:val="1A553D6F"/>
    <w:rsid w:val="1A590C11"/>
    <w:rsid w:val="1A676FBD"/>
    <w:rsid w:val="1A69158A"/>
    <w:rsid w:val="1A95098F"/>
    <w:rsid w:val="1AE86B17"/>
    <w:rsid w:val="1B172F68"/>
    <w:rsid w:val="1B270046"/>
    <w:rsid w:val="1B2E3D92"/>
    <w:rsid w:val="1B5A0743"/>
    <w:rsid w:val="1B5F247B"/>
    <w:rsid w:val="1B76438C"/>
    <w:rsid w:val="1B991052"/>
    <w:rsid w:val="1BD15585"/>
    <w:rsid w:val="1BF031F9"/>
    <w:rsid w:val="1C313529"/>
    <w:rsid w:val="1C513C1C"/>
    <w:rsid w:val="1C5A217C"/>
    <w:rsid w:val="1C5E4614"/>
    <w:rsid w:val="1C6949C7"/>
    <w:rsid w:val="1C825DC1"/>
    <w:rsid w:val="1C9E46EF"/>
    <w:rsid w:val="1CDA65CD"/>
    <w:rsid w:val="1D174458"/>
    <w:rsid w:val="1D5A32FF"/>
    <w:rsid w:val="1D5B0735"/>
    <w:rsid w:val="1D885BCE"/>
    <w:rsid w:val="1D8D3097"/>
    <w:rsid w:val="1DA03795"/>
    <w:rsid w:val="1DD333AF"/>
    <w:rsid w:val="1DF74022"/>
    <w:rsid w:val="1E02377D"/>
    <w:rsid w:val="1E18395A"/>
    <w:rsid w:val="1E2101FB"/>
    <w:rsid w:val="1E4E4021"/>
    <w:rsid w:val="1E867422"/>
    <w:rsid w:val="1E9531B5"/>
    <w:rsid w:val="1E9616B1"/>
    <w:rsid w:val="1EE035FD"/>
    <w:rsid w:val="1EED35A4"/>
    <w:rsid w:val="1EF92AD6"/>
    <w:rsid w:val="1F01535C"/>
    <w:rsid w:val="1F0B5BFD"/>
    <w:rsid w:val="1F122FA9"/>
    <w:rsid w:val="1F3F58E9"/>
    <w:rsid w:val="1F480851"/>
    <w:rsid w:val="1F800AB8"/>
    <w:rsid w:val="1F84343E"/>
    <w:rsid w:val="1F923D1F"/>
    <w:rsid w:val="1F9F570C"/>
    <w:rsid w:val="1FA669D7"/>
    <w:rsid w:val="1FE222C9"/>
    <w:rsid w:val="20026424"/>
    <w:rsid w:val="2006027E"/>
    <w:rsid w:val="20061093"/>
    <w:rsid w:val="20066B00"/>
    <w:rsid w:val="20076A1B"/>
    <w:rsid w:val="20163AAA"/>
    <w:rsid w:val="201B6475"/>
    <w:rsid w:val="2070426C"/>
    <w:rsid w:val="208F616F"/>
    <w:rsid w:val="20F04B19"/>
    <w:rsid w:val="21244D1E"/>
    <w:rsid w:val="212D7B46"/>
    <w:rsid w:val="21304011"/>
    <w:rsid w:val="21776A21"/>
    <w:rsid w:val="2180694F"/>
    <w:rsid w:val="21CB71C6"/>
    <w:rsid w:val="21DA56E0"/>
    <w:rsid w:val="21E27646"/>
    <w:rsid w:val="220228E4"/>
    <w:rsid w:val="22162F44"/>
    <w:rsid w:val="223666A1"/>
    <w:rsid w:val="228254C9"/>
    <w:rsid w:val="22C205C9"/>
    <w:rsid w:val="22DC6F73"/>
    <w:rsid w:val="22E2685A"/>
    <w:rsid w:val="22E805EC"/>
    <w:rsid w:val="22EB0077"/>
    <w:rsid w:val="22ED3731"/>
    <w:rsid w:val="230F132C"/>
    <w:rsid w:val="2325694A"/>
    <w:rsid w:val="233D0C7F"/>
    <w:rsid w:val="236E0F8C"/>
    <w:rsid w:val="23852C3B"/>
    <w:rsid w:val="239B1BB9"/>
    <w:rsid w:val="239F38CE"/>
    <w:rsid w:val="23B36584"/>
    <w:rsid w:val="23B444E4"/>
    <w:rsid w:val="23DF6450"/>
    <w:rsid w:val="23E337BE"/>
    <w:rsid w:val="23EA04DA"/>
    <w:rsid w:val="23EC69D7"/>
    <w:rsid w:val="23F61E0C"/>
    <w:rsid w:val="24165A7F"/>
    <w:rsid w:val="241C435D"/>
    <w:rsid w:val="241E0799"/>
    <w:rsid w:val="24267B5E"/>
    <w:rsid w:val="242B3903"/>
    <w:rsid w:val="242F2129"/>
    <w:rsid w:val="2453639C"/>
    <w:rsid w:val="249025C1"/>
    <w:rsid w:val="24AD7A37"/>
    <w:rsid w:val="24FB3F3D"/>
    <w:rsid w:val="25077EDF"/>
    <w:rsid w:val="250E28D8"/>
    <w:rsid w:val="252540C5"/>
    <w:rsid w:val="2539009C"/>
    <w:rsid w:val="254539F5"/>
    <w:rsid w:val="258C67D8"/>
    <w:rsid w:val="25AB1AEB"/>
    <w:rsid w:val="25AC1999"/>
    <w:rsid w:val="262F1CFE"/>
    <w:rsid w:val="2640121B"/>
    <w:rsid w:val="267445D0"/>
    <w:rsid w:val="267E5056"/>
    <w:rsid w:val="267F3835"/>
    <w:rsid w:val="268A56DA"/>
    <w:rsid w:val="26B4484D"/>
    <w:rsid w:val="26BA4D5D"/>
    <w:rsid w:val="26CC4A72"/>
    <w:rsid w:val="26DA4CF9"/>
    <w:rsid w:val="26E0728D"/>
    <w:rsid w:val="27C908CA"/>
    <w:rsid w:val="27CC27B9"/>
    <w:rsid w:val="27CF6BFF"/>
    <w:rsid w:val="27D07FBD"/>
    <w:rsid w:val="27D20BF1"/>
    <w:rsid w:val="27E77AAA"/>
    <w:rsid w:val="27F72419"/>
    <w:rsid w:val="27FA4173"/>
    <w:rsid w:val="27FB3FA8"/>
    <w:rsid w:val="28017CC0"/>
    <w:rsid w:val="280232A9"/>
    <w:rsid w:val="281A0237"/>
    <w:rsid w:val="282A11EF"/>
    <w:rsid w:val="284400F0"/>
    <w:rsid w:val="28462080"/>
    <w:rsid w:val="28B37C5A"/>
    <w:rsid w:val="28E15521"/>
    <w:rsid w:val="29044C54"/>
    <w:rsid w:val="291B1259"/>
    <w:rsid w:val="29213B30"/>
    <w:rsid w:val="292366D6"/>
    <w:rsid w:val="292D1D8A"/>
    <w:rsid w:val="29435E2A"/>
    <w:rsid w:val="29457731"/>
    <w:rsid w:val="295747B9"/>
    <w:rsid w:val="29623395"/>
    <w:rsid w:val="29802820"/>
    <w:rsid w:val="29BF69E1"/>
    <w:rsid w:val="29C94A12"/>
    <w:rsid w:val="29EE7A91"/>
    <w:rsid w:val="2A0123F5"/>
    <w:rsid w:val="2A2474D8"/>
    <w:rsid w:val="2A26164F"/>
    <w:rsid w:val="2A47142E"/>
    <w:rsid w:val="2A9A6FAE"/>
    <w:rsid w:val="2AB551E6"/>
    <w:rsid w:val="2B114C5A"/>
    <w:rsid w:val="2B15163B"/>
    <w:rsid w:val="2B337F87"/>
    <w:rsid w:val="2B557024"/>
    <w:rsid w:val="2B6F4801"/>
    <w:rsid w:val="2B9F6755"/>
    <w:rsid w:val="2BBE6C5E"/>
    <w:rsid w:val="2BE363B8"/>
    <w:rsid w:val="2BE84EC1"/>
    <w:rsid w:val="2C0E3D45"/>
    <w:rsid w:val="2C1431EA"/>
    <w:rsid w:val="2C216E88"/>
    <w:rsid w:val="2C3255D7"/>
    <w:rsid w:val="2CF00D2D"/>
    <w:rsid w:val="2CFF7177"/>
    <w:rsid w:val="2D0114E4"/>
    <w:rsid w:val="2D157630"/>
    <w:rsid w:val="2D1D02F7"/>
    <w:rsid w:val="2D1F7AB4"/>
    <w:rsid w:val="2D582419"/>
    <w:rsid w:val="2D7A53E6"/>
    <w:rsid w:val="2DE77500"/>
    <w:rsid w:val="2E0633CA"/>
    <w:rsid w:val="2E626BA2"/>
    <w:rsid w:val="2E6D1F2E"/>
    <w:rsid w:val="2E8A3CC8"/>
    <w:rsid w:val="2EEF2DC4"/>
    <w:rsid w:val="2F126F89"/>
    <w:rsid w:val="2F130E54"/>
    <w:rsid w:val="2F6E5C96"/>
    <w:rsid w:val="2F810B7C"/>
    <w:rsid w:val="2F926F9C"/>
    <w:rsid w:val="2F99071C"/>
    <w:rsid w:val="2FAF7CC6"/>
    <w:rsid w:val="2FB5617B"/>
    <w:rsid w:val="2FC74367"/>
    <w:rsid w:val="2FEE5667"/>
    <w:rsid w:val="2FF724F8"/>
    <w:rsid w:val="303318C1"/>
    <w:rsid w:val="305E4BC9"/>
    <w:rsid w:val="306E3CF1"/>
    <w:rsid w:val="306E6392"/>
    <w:rsid w:val="30A04FAC"/>
    <w:rsid w:val="30AB3F59"/>
    <w:rsid w:val="30C26095"/>
    <w:rsid w:val="30CF5686"/>
    <w:rsid w:val="30DB44C5"/>
    <w:rsid w:val="30EC2677"/>
    <w:rsid w:val="30FB325A"/>
    <w:rsid w:val="312346AD"/>
    <w:rsid w:val="31266948"/>
    <w:rsid w:val="314752C8"/>
    <w:rsid w:val="31750F7B"/>
    <w:rsid w:val="318C7BE1"/>
    <w:rsid w:val="31A15CB3"/>
    <w:rsid w:val="31A956AA"/>
    <w:rsid w:val="31B37952"/>
    <w:rsid w:val="31D717CA"/>
    <w:rsid w:val="31F51CE6"/>
    <w:rsid w:val="32035AEE"/>
    <w:rsid w:val="32250554"/>
    <w:rsid w:val="322538B7"/>
    <w:rsid w:val="323B4183"/>
    <w:rsid w:val="324F2244"/>
    <w:rsid w:val="325364D6"/>
    <w:rsid w:val="32785611"/>
    <w:rsid w:val="32AC70B2"/>
    <w:rsid w:val="32AF1750"/>
    <w:rsid w:val="33176887"/>
    <w:rsid w:val="33286A18"/>
    <w:rsid w:val="335A451B"/>
    <w:rsid w:val="335B55A6"/>
    <w:rsid w:val="336E7333"/>
    <w:rsid w:val="33812697"/>
    <w:rsid w:val="3395433E"/>
    <w:rsid w:val="340E1781"/>
    <w:rsid w:val="3423680C"/>
    <w:rsid w:val="344C20FC"/>
    <w:rsid w:val="34606569"/>
    <w:rsid w:val="34703291"/>
    <w:rsid w:val="3470660A"/>
    <w:rsid w:val="34D125D8"/>
    <w:rsid w:val="34DF0A87"/>
    <w:rsid w:val="350B0940"/>
    <w:rsid w:val="358072B3"/>
    <w:rsid w:val="35A02B5B"/>
    <w:rsid w:val="35AA5F50"/>
    <w:rsid w:val="35AB623D"/>
    <w:rsid w:val="35CA5AD1"/>
    <w:rsid w:val="35D12420"/>
    <w:rsid w:val="35FE1E6D"/>
    <w:rsid w:val="36124416"/>
    <w:rsid w:val="36246080"/>
    <w:rsid w:val="36781B31"/>
    <w:rsid w:val="36863332"/>
    <w:rsid w:val="369342FF"/>
    <w:rsid w:val="36943ABF"/>
    <w:rsid w:val="3696250C"/>
    <w:rsid w:val="36991804"/>
    <w:rsid w:val="36B5648B"/>
    <w:rsid w:val="36C121FB"/>
    <w:rsid w:val="36E55F65"/>
    <w:rsid w:val="370B3B3B"/>
    <w:rsid w:val="370E0B8C"/>
    <w:rsid w:val="371B1A0C"/>
    <w:rsid w:val="3728299B"/>
    <w:rsid w:val="37602DE6"/>
    <w:rsid w:val="37EC0153"/>
    <w:rsid w:val="37F83D4F"/>
    <w:rsid w:val="37FC4CAC"/>
    <w:rsid w:val="382A59A7"/>
    <w:rsid w:val="3831246A"/>
    <w:rsid w:val="38635F53"/>
    <w:rsid w:val="38814131"/>
    <w:rsid w:val="38C0050E"/>
    <w:rsid w:val="38C43B82"/>
    <w:rsid w:val="38D7290B"/>
    <w:rsid w:val="38F208EB"/>
    <w:rsid w:val="39056A96"/>
    <w:rsid w:val="39073759"/>
    <w:rsid w:val="395D171C"/>
    <w:rsid w:val="395E462C"/>
    <w:rsid w:val="396C5669"/>
    <w:rsid w:val="399006B2"/>
    <w:rsid w:val="39D043DD"/>
    <w:rsid w:val="3A137244"/>
    <w:rsid w:val="3A1715AB"/>
    <w:rsid w:val="3A195CBF"/>
    <w:rsid w:val="3A29180D"/>
    <w:rsid w:val="3A76585C"/>
    <w:rsid w:val="3ADA52C8"/>
    <w:rsid w:val="3AE02E34"/>
    <w:rsid w:val="3AE86817"/>
    <w:rsid w:val="3B1E56FE"/>
    <w:rsid w:val="3B5206E1"/>
    <w:rsid w:val="3B5733A8"/>
    <w:rsid w:val="3B79315D"/>
    <w:rsid w:val="3B8A69A9"/>
    <w:rsid w:val="3B920527"/>
    <w:rsid w:val="3B945385"/>
    <w:rsid w:val="3BB20032"/>
    <w:rsid w:val="3BBB5C63"/>
    <w:rsid w:val="3BE410D4"/>
    <w:rsid w:val="3BEA2347"/>
    <w:rsid w:val="3C166FBE"/>
    <w:rsid w:val="3C190CB8"/>
    <w:rsid w:val="3C1F0E06"/>
    <w:rsid w:val="3C6D7EC1"/>
    <w:rsid w:val="3C736813"/>
    <w:rsid w:val="3C792257"/>
    <w:rsid w:val="3CBB367C"/>
    <w:rsid w:val="3CDB255C"/>
    <w:rsid w:val="3D0809AE"/>
    <w:rsid w:val="3D446913"/>
    <w:rsid w:val="3D495E4C"/>
    <w:rsid w:val="3D696896"/>
    <w:rsid w:val="3DA22AC4"/>
    <w:rsid w:val="3DA65D1B"/>
    <w:rsid w:val="3DCA613B"/>
    <w:rsid w:val="3E111F16"/>
    <w:rsid w:val="3E3B0543"/>
    <w:rsid w:val="3E646E4A"/>
    <w:rsid w:val="3EAF3880"/>
    <w:rsid w:val="3ED46F69"/>
    <w:rsid w:val="3EDF1001"/>
    <w:rsid w:val="3EE176A5"/>
    <w:rsid w:val="3EEC0E86"/>
    <w:rsid w:val="3EEC47CE"/>
    <w:rsid w:val="3F105A4A"/>
    <w:rsid w:val="3F3F71F5"/>
    <w:rsid w:val="3F414352"/>
    <w:rsid w:val="3F5A74A4"/>
    <w:rsid w:val="3F6F7061"/>
    <w:rsid w:val="3F793BC4"/>
    <w:rsid w:val="3F7C25B6"/>
    <w:rsid w:val="3FB771E1"/>
    <w:rsid w:val="3FD81DD6"/>
    <w:rsid w:val="3FE30264"/>
    <w:rsid w:val="3FF366B8"/>
    <w:rsid w:val="3FFF531A"/>
    <w:rsid w:val="40490C62"/>
    <w:rsid w:val="406B3BF6"/>
    <w:rsid w:val="40723AAF"/>
    <w:rsid w:val="40A934EF"/>
    <w:rsid w:val="40B47051"/>
    <w:rsid w:val="40DE79E6"/>
    <w:rsid w:val="40FC40B5"/>
    <w:rsid w:val="40FF7C1E"/>
    <w:rsid w:val="41281B57"/>
    <w:rsid w:val="412C4520"/>
    <w:rsid w:val="412D01D6"/>
    <w:rsid w:val="41494446"/>
    <w:rsid w:val="41534E12"/>
    <w:rsid w:val="41666D61"/>
    <w:rsid w:val="41751CCE"/>
    <w:rsid w:val="41980104"/>
    <w:rsid w:val="41C6415F"/>
    <w:rsid w:val="420E5979"/>
    <w:rsid w:val="423C1D99"/>
    <w:rsid w:val="425D3A13"/>
    <w:rsid w:val="42741873"/>
    <w:rsid w:val="42897F28"/>
    <w:rsid w:val="42D0284F"/>
    <w:rsid w:val="42D64E70"/>
    <w:rsid w:val="42FD6A10"/>
    <w:rsid w:val="431061C7"/>
    <w:rsid w:val="43270E32"/>
    <w:rsid w:val="43385530"/>
    <w:rsid w:val="433D3B4D"/>
    <w:rsid w:val="439E204B"/>
    <w:rsid w:val="43AB269C"/>
    <w:rsid w:val="43BD07B0"/>
    <w:rsid w:val="43BF7316"/>
    <w:rsid w:val="441F3814"/>
    <w:rsid w:val="443A4C33"/>
    <w:rsid w:val="44422697"/>
    <w:rsid w:val="44446B1A"/>
    <w:rsid w:val="449C2CB9"/>
    <w:rsid w:val="44A443D3"/>
    <w:rsid w:val="44B05B60"/>
    <w:rsid w:val="44CB7D53"/>
    <w:rsid w:val="44E4729C"/>
    <w:rsid w:val="44EA23B5"/>
    <w:rsid w:val="44F46203"/>
    <w:rsid w:val="45037933"/>
    <w:rsid w:val="452A0080"/>
    <w:rsid w:val="453A58D7"/>
    <w:rsid w:val="45694231"/>
    <w:rsid w:val="45961936"/>
    <w:rsid w:val="459E59D6"/>
    <w:rsid w:val="45D901CB"/>
    <w:rsid w:val="460A5458"/>
    <w:rsid w:val="460B035C"/>
    <w:rsid w:val="46455688"/>
    <w:rsid w:val="46476649"/>
    <w:rsid w:val="464B5471"/>
    <w:rsid w:val="46591358"/>
    <w:rsid w:val="46673E78"/>
    <w:rsid w:val="46935C55"/>
    <w:rsid w:val="469B2ED2"/>
    <w:rsid w:val="46D25840"/>
    <w:rsid w:val="46E41C2A"/>
    <w:rsid w:val="46F506BE"/>
    <w:rsid w:val="470A26CB"/>
    <w:rsid w:val="471E5A38"/>
    <w:rsid w:val="472964E3"/>
    <w:rsid w:val="47336852"/>
    <w:rsid w:val="47417D85"/>
    <w:rsid w:val="47502F49"/>
    <w:rsid w:val="475627D7"/>
    <w:rsid w:val="47AB5023"/>
    <w:rsid w:val="47B0616A"/>
    <w:rsid w:val="47D818E5"/>
    <w:rsid w:val="47D909C0"/>
    <w:rsid w:val="47F6649C"/>
    <w:rsid w:val="48004C2D"/>
    <w:rsid w:val="484E6447"/>
    <w:rsid w:val="486E5F5B"/>
    <w:rsid w:val="48804B69"/>
    <w:rsid w:val="48846425"/>
    <w:rsid w:val="488D065D"/>
    <w:rsid w:val="48DC2223"/>
    <w:rsid w:val="48E3302C"/>
    <w:rsid w:val="48F138FA"/>
    <w:rsid w:val="48F9397D"/>
    <w:rsid w:val="49070497"/>
    <w:rsid w:val="490D7955"/>
    <w:rsid w:val="496B6484"/>
    <w:rsid w:val="49704E84"/>
    <w:rsid w:val="49804CA0"/>
    <w:rsid w:val="49845667"/>
    <w:rsid w:val="499B3343"/>
    <w:rsid w:val="49B8684E"/>
    <w:rsid w:val="49D65FC8"/>
    <w:rsid w:val="49E12493"/>
    <w:rsid w:val="49F160C7"/>
    <w:rsid w:val="49F46DA8"/>
    <w:rsid w:val="4A06051A"/>
    <w:rsid w:val="4A182C72"/>
    <w:rsid w:val="4A7D2EA4"/>
    <w:rsid w:val="4A8345F9"/>
    <w:rsid w:val="4A9101FF"/>
    <w:rsid w:val="4ABD334A"/>
    <w:rsid w:val="4AC80968"/>
    <w:rsid w:val="4AD656D4"/>
    <w:rsid w:val="4AED0BB4"/>
    <w:rsid w:val="4AFF6AC3"/>
    <w:rsid w:val="4B0330FE"/>
    <w:rsid w:val="4B373F95"/>
    <w:rsid w:val="4B6B314B"/>
    <w:rsid w:val="4B7A3BD1"/>
    <w:rsid w:val="4B8718D0"/>
    <w:rsid w:val="4B8F2E5B"/>
    <w:rsid w:val="4B9156AE"/>
    <w:rsid w:val="4BB1300A"/>
    <w:rsid w:val="4BC32A9E"/>
    <w:rsid w:val="4BF51FF7"/>
    <w:rsid w:val="4C031EA6"/>
    <w:rsid w:val="4C2E5F9A"/>
    <w:rsid w:val="4C3658C4"/>
    <w:rsid w:val="4C870B3D"/>
    <w:rsid w:val="4C9F0F2B"/>
    <w:rsid w:val="4CA75ADB"/>
    <w:rsid w:val="4CC01306"/>
    <w:rsid w:val="4CC54453"/>
    <w:rsid w:val="4CDC5254"/>
    <w:rsid w:val="4CDF5DBA"/>
    <w:rsid w:val="4CE140FD"/>
    <w:rsid w:val="4CE92240"/>
    <w:rsid w:val="4D0A7920"/>
    <w:rsid w:val="4D512202"/>
    <w:rsid w:val="4D5A127B"/>
    <w:rsid w:val="4D7F2F00"/>
    <w:rsid w:val="4D8461B9"/>
    <w:rsid w:val="4DA6473F"/>
    <w:rsid w:val="4DCF1B9E"/>
    <w:rsid w:val="4DDC010C"/>
    <w:rsid w:val="4DE202B3"/>
    <w:rsid w:val="4DFA285C"/>
    <w:rsid w:val="4E12012D"/>
    <w:rsid w:val="4E1426DC"/>
    <w:rsid w:val="4E1B7340"/>
    <w:rsid w:val="4E330656"/>
    <w:rsid w:val="4E4001F1"/>
    <w:rsid w:val="4E783DB8"/>
    <w:rsid w:val="4E81660E"/>
    <w:rsid w:val="4E8166EC"/>
    <w:rsid w:val="4E9C7F3D"/>
    <w:rsid w:val="4E9D1304"/>
    <w:rsid w:val="4EA141EA"/>
    <w:rsid w:val="4EB10904"/>
    <w:rsid w:val="4EB225CA"/>
    <w:rsid w:val="4EB513C3"/>
    <w:rsid w:val="4F267D9A"/>
    <w:rsid w:val="4F2C1F59"/>
    <w:rsid w:val="4F547DB6"/>
    <w:rsid w:val="4F59743D"/>
    <w:rsid w:val="4F8864B0"/>
    <w:rsid w:val="4F90766B"/>
    <w:rsid w:val="4FA01787"/>
    <w:rsid w:val="4FC6326D"/>
    <w:rsid w:val="4FE20137"/>
    <w:rsid w:val="5000415D"/>
    <w:rsid w:val="50062AA1"/>
    <w:rsid w:val="50175272"/>
    <w:rsid w:val="50186985"/>
    <w:rsid w:val="50225359"/>
    <w:rsid w:val="506708F8"/>
    <w:rsid w:val="50B62EDE"/>
    <w:rsid w:val="50E556B4"/>
    <w:rsid w:val="51085E7F"/>
    <w:rsid w:val="511B2921"/>
    <w:rsid w:val="51266963"/>
    <w:rsid w:val="516E7006"/>
    <w:rsid w:val="51705E36"/>
    <w:rsid w:val="51707595"/>
    <w:rsid w:val="51926DC6"/>
    <w:rsid w:val="51B61981"/>
    <w:rsid w:val="51C0552A"/>
    <w:rsid w:val="51D57AC3"/>
    <w:rsid w:val="51D72082"/>
    <w:rsid w:val="520367C7"/>
    <w:rsid w:val="521354A9"/>
    <w:rsid w:val="521521DE"/>
    <w:rsid w:val="521D7C08"/>
    <w:rsid w:val="521E1276"/>
    <w:rsid w:val="52233AAF"/>
    <w:rsid w:val="5232558C"/>
    <w:rsid w:val="526225DB"/>
    <w:rsid w:val="52881E07"/>
    <w:rsid w:val="5288315D"/>
    <w:rsid w:val="528A20B9"/>
    <w:rsid w:val="52927D20"/>
    <w:rsid w:val="52AD2ED4"/>
    <w:rsid w:val="52B05293"/>
    <w:rsid w:val="52EC6D78"/>
    <w:rsid w:val="52F3640E"/>
    <w:rsid w:val="52FE6D48"/>
    <w:rsid w:val="53493273"/>
    <w:rsid w:val="53494816"/>
    <w:rsid w:val="535113AC"/>
    <w:rsid w:val="53633F20"/>
    <w:rsid w:val="53660E77"/>
    <w:rsid w:val="53AE44B4"/>
    <w:rsid w:val="53C11AF6"/>
    <w:rsid w:val="53C83B27"/>
    <w:rsid w:val="53E13E30"/>
    <w:rsid w:val="53E325F4"/>
    <w:rsid w:val="54171005"/>
    <w:rsid w:val="541961C5"/>
    <w:rsid w:val="543D2115"/>
    <w:rsid w:val="5449675E"/>
    <w:rsid w:val="54751603"/>
    <w:rsid w:val="54807B08"/>
    <w:rsid w:val="54893AE5"/>
    <w:rsid w:val="54D3304B"/>
    <w:rsid w:val="54E01871"/>
    <w:rsid w:val="54E7506E"/>
    <w:rsid w:val="550072CF"/>
    <w:rsid w:val="553E6A80"/>
    <w:rsid w:val="55423E7F"/>
    <w:rsid w:val="55622DC9"/>
    <w:rsid w:val="55862910"/>
    <w:rsid w:val="55896B95"/>
    <w:rsid w:val="55994E1A"/>
    <w:rsid w:val="55AC7155"/>
    <w:rsid w:val="55B05CA5"/>
    <w:rsid w:val="55D43B9F"/>
    <w:rsid w:val="55FE19FC"/>
    <w:rsid w:val="562717A9"/>
    <w:rsid w:val="564256DF"/>
    <w:rsid w:val="567105F1"/>
    <w:rsid w:val="56893418"/>
    <w:rsid w:val="569146DE"/>
    <w:rsid w:val="56B02C63"/>
    <w:rsid w:val="56CA1873"/>
    <w:rsid w:val="56D16FAA"/>
    <w:rsid w:val="56D33994"/>
    <w:rsid w:val="56DB7934"/>
    <w:rsid w:val="56DD14ED"/>
    <w:rsid w:val="56DD57D4"/>
    <w:rsid w:val="56E367EF"/>
    <w:rsid w:val="56EC5820"/>
    <w:rsid w:val="56F5417A"/>
    <w:rsid w:val="57143715"/>
    <w:rsid w:val="57265030"/>
    <w:rsid w:val="57344957"/>
    <w:rsid w:val="575C1AA8"/>
    <w:rsid w:val="57A50199"/>
    <w:rsid w:val="57B7365F"/>
    <w:rsid w:val="57DB40C0"/>
    <w:rsid w:val="580429B4"/>
    <w:rsid w:val="58644BBE"/>
    <w:rsid w:val="58851895"/>
    <w:rsid w:val="589A4CB7"/>
    <w:rsid w:val="58AF6DD5"/>
    <w:rsid w:val="58B77393"/>
    <w:rsid w:val="58C037E8"/>
    <w:rsid w:val="58F57F90"/>
    <w:rsid w:val="591168F7"/>
    <w:rsid w:val="591225A3"/>
    <w:rsid w:val="591B1EB7"/>
    <w:rsid w:val="59322C74"/>
    <w:rsid w:val="59456B32"/>
    <w:rsid w:val="594F18F9"/>
    <w:rsid w:val="5955577D"/>
    <w:rsid w:val="596225CE"/>
    <w:rsid w:val="59673DC2"/>
    <w:rsid w:val="596A7327"/>
    <w:rsid w:val="59810D13"/>
    <w:rsid w:val="59983D97"/>
    <w:rsid w:val="59B746B6"/>
    <w:rsid w:val="59CD5516"/>
    <w:rsid w:val="5A2A0D6C"/>
    <w:rsid w:val="5A3B316E"/>
    <w:rsid w:val="5A676A7A"/>
    <w:rsid w:val="5A85522D"/>
    <w:rsid w:val="5A8E4F8B"/>
    <w:rsid w:val="5A9B31B0"/>
    <w:rsid w:val="5A9D7328"/>
    <w:rsid w:val="5AA402FA"/>
    <w:rsid w:val="5AA6585E"/>
    <w:rsid w:val="5AC810CA"/>
    <w:rsid w:val="5AD1035F"/>
    <w:rsid w:val="5AD812E5"/>
    <w:rsid w:val="5AE953E4"/>
    <w:rsid w:val="5B0C3F26"/>
    <w:rsid w:val="5B41493D"/>
    <w:rsid w:val="5B414CA9"/>
    <w:rsid w:val="5BB54903"/>
    <w:rsid w:val="5BC6799A"/>
    <w:rsid w:val="5C115A70"/>
    <w:rsid w:val="5C1D5A0C"/>
    <w:rsid w:val="5C467AAA"/>
    <w:rsid w:val="5C547155"/>
    <w:rsid w:val="5C5B236C"/>
    <w:rsid w:val="5C707C98"/>
    <w:rsid w:val="5C890FFC"/>
    <w:rsid w:val="5C8C5B5D"/>
    <w:rsid w:val="5CC40045"/>
    <w:rsid w:val="5CCA68D5"/>
    <w:rsid w:val="5CE67900"/>
    <w:rsid w:val="5CE73B16"/>
    <w:rsid w:val="5CEE32DE"/>
    <w:rsid w:val="5D0A091D"/>
    <w:rsid w:val="5D202FCF"/>
    <w:rsid w:val="5D29304B"/>
    <w:rsid w:val="5D6A6830"/>
    <w:rsid w:val="5D747AF8"/>
    <w:rsid w:val="5D7D4E98"/>
    <w:rsid w:val="5DA75A96"/>
    <w:rsid w:val="5DA96938"/>
    <w:rsid w:val="5DAA5095"/>
    <w:rsid w:val="5DB15888"/>
    <w:rsid w:val="5DF710B8"/>
    <w:rsid w:val="5DF80505"/>
    <w:rsid w:val="5E01379D"/>
    <w:rsid w:val="5E144D91"/>
    <w:rsid w:val="5E3F2F00"/>
    <w:rsid w:val="5E51333E"/>
    <w:rsid w:val="5E604544"/>
    <w:rsid w:val="5E812800"/>
    <w:rsid w:val="5E87360F"/>
    <w:rsid w:val="5EC4632A"/>
    <w:rsid w:val="5ECB52C9"/>
    <w:rsid w:val="5ED659D5"/>
    <w:rsid w:val="5EF06585"/>
    <w:rsid w:val="5EF84908"/>
    <w:rsid w:val="5EFB3D91"/>
    <w:rsid w:val="5F083798"/>
    <w:rsid w:val="5F206B26"/>
    <w:rsid w:val="5F637296"/>
    <w:rsid w:val="5F667D08"/>
    <w:rsid w:val="5F901D87"/>
    <w:rsid w:val="5F9F2595"/>
    <w:rsid w:val="5FFD52E9"/>
    <w:rsid w:val="600053B0"/>
    <w:rsid w:val="60163C5F"/>
    <w:rsid w:val="601734A5"/>
    <w:rsid w:val="60462DCD"/>
    <w:rsid w:val="606D7301"/>
    <w:rsid w:val="60816885"/>
    <w:rsid w:val="608179A6"/>
    <w:rsid w:val="608419DC"/>
    <w:rsid w:val="608D5BFD"/>
    <w:rsid w:val="60912675"/>
    <w:rsid w:val="60D90730"/>
    <w:rsid w:val="610529D3"/>
    <w:rsid w:val="611210D9"/>
    <w:rsid w:val="61496984"/>
    <w:rsid w:val="614E213C"/>
    <w:rsid w:val="61AD254E"/>
    <w:rsid w:val="61C2126F"/>
    <w:rsid w:val="61DD5F05"/>
    <w:rsid w:val="61EB6510"/>
    <w:rsid w:val="61FA2784"/>
    <w:rsid w:val="62331E04"/>
    <w:rsid w:val="62A77A36"/>
    <w:rsid w:val="62AE7DCB"/>
    <w:rsid w:val="62B24C1D"/>
    <w:rsid w:val="62E45518"/>
    <w:rsid w:val="62E75C7B"/>
    <w:rsid w:val="62F34394"/>
    <w:rsid w:val="633D2F16"/>
    <w:rsid w:val="634800B3"/>
    <w:rsid w:val="635C512F"/>
    <w:rsid w:val="63883E5B"/>
    <w:rsid w:val="6393773A"/>
    <w:rsid w:val="63AE1500"/>
    <w:rsid w:val="63BD5A27"/>
    <w:rsid w:val="63DC1613"/>
    <w:rsid w:val="63F06C63"/>
    <w:rsid w:val="63FF1C5D"/>
    <w:rsid w:val="643C3F93"/>
    <w:rsid w:val="64430B05"/>
    <w:rsid w:val="64464920"/>
    <w:rsid w:val="64515E31"/>
    <w:rsid w:val="645F7386"/>
    <w:rsid w:val="646A0BCA"/>
    <w:rsid w:val="646A6FB6"/>
    <w:rsid w:val="649822E1"/>
    <w:rsid w:val="64A01D60"/>
    <w:rsid w:val="64A50FFA"/>
    <w:rsid w:val="64A62BA0"/>
    <w:rsid w:val="64A86B2D"/>
    <w:rsid w:val="64C47FDF"/>
    <w:rsid w:val="64CD637E"/>
    <w:rsid w:val="64CF434B"/>
    <w:rsid w:val="64D03740"/>
    <w:rsid w:val="64F55751"/>
    <w:rsid w:val="650959A9"/>
    <w:rsid w:val="65340090"/>
    <w:rsid w:val="654D6CFC"/>
    <w:rsid w:val="65586590"/>
    <w:rsid w:val="655D7C54"/>
    <w:rsid w:val="65660604"/>
    <w:rsid w:val="65BD7D6B"/>
    <w:rsid w:val="65CD6B43"/>
    <w:rsid w:val="65F508A7"/>
    <w:rsid w:val="663039A5"/>
    <w:rsid w:val="66365FDD"/>
    <w:rsid w:val="663A6BFF"/>
    <w:rsid w:val="66B40AFE"/>
    <w:rsid w:val="66E95458"/>
    <w:rsid w:val="66EB2C09"/>
    <w:rsid w:val="66EF0249"/>
    <w:rsid w:val="66F526CD"/>
    <w:rsid w:val="674E7C4A"/>
    <w:rsid w:val="67874359"/>
    <w:rsid w:val="678A0B44"/>
    <w:rsid w:val="679C02CE"/>
    <w:rsid w:val="67B80CD7"/>
    <w:rsid w:val="67D275F9"/>
    <w:rsid w:val="67F42605"/>
    <w:rsid w:val="67F739F0"/>
    <w:rsid w:val="67F75A15"/>
    <w:rsid w:val="67FA1C39"/>
    <w:rsid w:val="68022670"/>
    <w:rsid w:val="684A5D6F"/>
    <w:rsid w:val="6852194F"/>
    <w:rsid w:val="68B71F08"/>
    <w:rsid w:val="68C46860"/>
    <w:rsid w:val="68D03DE1"/>
    <w:rsid w:val="68D412F1"/>
    <w:rsid w:val="690702F7"/>
    <w:rsid w:val="69083B2F"/>
    <w:rsid w:val="69303936"/>
    <w:rsid w:val="69360996"/>
    <w:rsid w:val="6946589E"/>
    <w:rsid w:val="69670F29"/>
    <w:rsid w:val="69693EF0"/>
    <w:rsid w:val="696C085C"/>
    <w:rsid w:val="69A770D8"/>
    <w:rsid w:val="69B1542D"/>
    <w:rsid w:val="69CD2C4C"/>
    <w:rsid w:val="69DB417D"/>
    <w:rsid w:val="6A251B6E"/>
    <w:rsid w:val="6A613CB7"/>
    <w:rsid w:val="6A7A16B8"/>
    <w:rsid w:val="6AC1302D"/>
    <w:rsid w:val="6AC14F4B"/>
    <w:rsid w:val="6AEC6099"/>
    <w:rsid w:val="6B0218B8"/>
    <w:rsid w:val="6B0532DB"/>
    <w:rsid w:val="6B377F25"/>
    <w:rsid w:val="6B38109B"/>
    <w:rsid w:val="6B387E75"/>
    <w:rsid w:val="6B5333E0"/>
    <w:rsid w:val="6B646BC0"/>
    <w:rsid w:val="6B6978AC"/>
    <w:rsid w:val="6B6D624F"/>
    <w:rsid w:val="6B8B707E"/>
    <w:rsid w:val="6BA60945"/>
    <w:rsid w:val="6BA61E17"/>
    <w:rsid w:val="6BB632C4"/>
    <w:rsid w:val="6BE56E40"/>
    <w:rsid w:val="6C204A9D"/>
    <w:rsid w:val="6C3C74EE"/>
    <w:rsid w:val="6C3F6F46"/>
    <w:rsid w:val="6C564FAB"/>
    <w:rsid w:val="6C940230"/>
    <w:rsid w:val="6CA96CC6"/>
    <w:rsid w:val="6CAC3BB4"/>
    <w:rsid w:val="6CB423CE"/>
    <w:rsid w:val="6CB96E30"/>
    <w:rsid w:val="6CCC7046"/>
    <w:rsid w:val="6CDD22C7"/>
    <w:rsid w:val="6CE444A4"/>
    <w:rsid w:val="6CE71A4B"/>
    <w:rsid w:val="6CE76C19"/>
    <w:rsid w:val="6CF02B48"/>
    <w:rsid w:val="6D035295"/>
    <w:rsid w:val="6D0C5B4C"/>
    <w:rsid w:val="6D3D08AB"/>
    <w:rsid w:val="6D4C7C50"/>
    <w:rsid w:val="6D5C0FD6"/>
    <w:rsid w:val="6D6F3259"/>
    <w:rsid w:val="6D7F7E63"/>
    <w:rsid w:val="6D827EB8"/>
    <w:rsid w:val="6D93221D"/>
    <w:rsid w:val="6DF02B03"/>
    <w:rsid w:val="6DF523F6"/>
    <w:rsid w:val="6E1F6863"/>
    <w:rsid w:val="6E2778BE"/>
    <w:rsid w:val="6E37145B"/>
    <w:rsid w:val="6E9E6FE7"/>
    <w:rsid w:val="6EB471EA"/>
    <w:rsid w:val="6EE23E07"/>
    <w:rsid w:val="6EF32E85"/>
    <w:rsid w:val="6F4A5D7D"/>
    <w:rsid w:val="6F4F5DF6"/>
    <w:rsid w:val="6F6510FE"/>
    <w:rsid w:val="6F9A165A"/>
    <w:rsid w:val="6FA84E86"/>
    <w:rsid w:val="6FAD56C9"/>
    <w:rsid w:val="6FCE7732"/>
    <w:rsid w:val="70190157"/>
    <w:rsid w:val="70275DD2"/>
    <w:rsid w:val="703D7FCB"/>
    <w:rsid w:val="70486E9B"/>
    <w:rsid w:val="7050318C"/>
    <w:rsid w:val="70593B94"/>
    <w:rsid w:val="705A3B1B"/>
    <w:rsid w:val="705C74FF"/>
    <w:rsid w:val="7093356C"/>
    <w:rsid w:val="7117635E"/>
    <w:rsid w:val="711E186C"/>
    <w:rsid w:val="71386525"/>
    <w:rsid w:val="7141612A"/>
    <w:rsid w:val="71500B3E"/>
    <w:rsid w:val="71736403"/>
    <w:rsid w:val="71836793"/>
    <w:rsid w:val="71B5409B"/>
    <w:rsid w:val="71B765E0"/>
    <w:rsid w:val="71B808CC"/>
    <w:rsid w:val="71BA3A66"/>
    <w:rsid w:val="71CE498D"/>
    <w:rsid w:val="71D7083C"/>
    <w:rsid w:val="71E65C4F"/>
    <w:rsid w:val="71EB53F8"/>
    <w:rsid w:val="72033E99"/>
    <w:rsid w:val="721A0B16"/>
    <w:rsid w:val="721F6CB5"/>
    <w:rsid w:val="722E311A"/>
    <w:rsid w:val="729C5468"/>
    <w:rsid w:val="72AB13CD"/>
    <w:rsid w:val="72C676C5"/>
    <w:rsid w:val="730D7EC7"/>
    <w:rsid w:val="7314315D"/>
    <w:rsid w:val="733C1A64"/>
    <w:rsid w:val="7359766D"/>
    <w:rsid w:val="735B01B9"/>
    <w:rsid w:val="7395301C"/>
    <w:rsid w:val="73974A13"/>
    <w:rsid w:val="73B114C7"/>
    <w:rsid w:val="73C524B9"/>
    <w:rsid w:val="73CC7C6A"/>
    <w:rsid w:val="73DD2363"/>
    <w:rsid w:val="73E91F9C"/>
    <w:rsid w:val="74103DBC"/>
    <w:rsid w:val="74145D3A"/>
    <w:rsid w:val="74276341"/>
    <w:rsid w:val="74592DCA"/>
    <w:rsid w:val="74715B40"/>
    <w:rsid w:val="748E573B"/>
    <w:rsid w:val="74D177C5"/>
    <w:rsid w:val="74DB7849"/>
    <w:rsid w:val="74F331E4"/>
    <w:rsid w:val="7501780D"/>
    <w:rsid w:val="75185299"/>
    <w:rsid w:val="751E2B8A"/>
    <w:rsid w:val="75336F4C"/>
    <w:rsid w:val="75346313"/>
    <w:rsid w:val="753C51D4"/>
    <w:rsid w:val="754B2AD5"/>
    <w:rsid w:val="75545041"/>
    <w:rsid w:val="755F7990"/>
    <w:rsid w:val="756F390B"/>
    <w:rsid w:val="7589243B"/>
    <w:rsid w:val="759D220B"/>
    <w:rsid w:val="75B02A69"/>
    <w:rsid w:val="75B5072A"/>
    <w:rsid w:val="75B84C9F"/>
    <w:rsid w:val="75B9065E"/>
    <w:rsid w:val="75C31342"/>
    <w:rsid w:val="75C35910"/>
    <w:rsid w:val="75FC72D8"/>
    <w:rsid w:val="760C401E"/>
    <w:rsid w:val="76122FBC"/>
    <w:rsid w:val="761E5A92"/>
    <w:rsid w:val="76302219"/>
    <w:rsid w:val="76375D4D"/>
    <w:rsid w:val="765C5D32"/>
    <w:rsid w:val="767F79E0"/>
    <w:rsid w:val="76860BF3"/>
    <w:rsid w:val="769908CC"/>
    <w:rsid w:val="769D7927"/>
    <w:rsid w:val="76B77D3B"/>
    <w:rsid w:val="771F04BF"/>
    <w:rsid w:val="77462887"/>
    <w:rsid w:val="77617F68"/>
    <w:rsid w:val="7775678A"/>
    <w:rsid w:val="777C537F"/>
    <w:rsid w:val="778D7018"/>
    <w:rsid w:val="77914333"/>
    <w:rsid w:val="77C251B6"/>
    <w:rsid w:val="77CE10D3"/>
    <w:rsid w:val="783715D6"/>
    <w:rsid w:val="784375E9"/>
    <w:rsid w:val="7855167B"/>
    <w:rsid w:val="78597FC3"/>
    <w:rsid w:val="786D4397"/>
    <w:rsid w:val="78854724"/>
    <w:rsid w:val="789A127F"/>
    <w:rsid w:val="78A468E8"/>
    <w:rsid w:val="78B41694"/>
    <w:rsid w:val="78C01F87"/>
    <w:rsid w:val="78E14774"/>
    <w:rsid w:val="792C7A4B"/>
    <w:rsid w:val="79616F08"/>
    <w:rsid w:val="796F7133"/>
    <w:rsid w:val="79886C91"/>
    <w:rsid w:val="79B738E7"/>
    <w:rsid w:val="79BB65D2"/>
    <w:rsid w:val="79BC5E29"/>
    <w:rsid w:val="79C66903"/>
    <w:rsid w:val="79DA66EC"/>
    <w:rsid w:val="7A267649"/>
    <w:rsid w:val="7A3E7E49"/>
    <w:rsid w:val="7A804315"/>
    <w:rsid w:val="7A8502A0"/>
    <w:rsid w:val="7AA00172"/>
    <w:rsid w:val="7AA73149"/>
    <w:rsid w:val="7AC2248A"/>
    <w:rsid w:val="7ACE5D10"/>
    <w:rsid w:val="7B097609"/>
    <w:rsid w:val="7B2E49A6"/>
    <w:rsid w:val="7B635342"/>
    <w:rsid w:val="7B907475"/>
    <w:rsid w:val="7BAD5969"/>
    <w:rsid w:val="7BC260B9"/>
    <w:rsid w:val="7BCC3F44"/>
    <w:rsid w:val="7BDE0C48"/>
    <w:rsid w:val="7C201B45"/>
    <w:rsid w:val="7C422271"/>
    <w:rsid w:val="7C47098B"/>
    <w:rsid w:val="7C760C40"/>
    <w:rsid w:val="7C924ADA"/>
    <w:rsid w:val="7C990B2E"/>
    <w:rsid w:val="7C9B6025"/>
    <w:rsid w:val="7C9C44FE"/>
    <w:rsid w:val="7CAE748B"/>
    <w:rsid w:val="7CC375FF"/>
    <w:rsid w:val="7CC86829"/>
    <w:rsid w:val="7CD96F87"/>
    <w:rsid w:val="7CDA6853"/>
    <w:rsid w:val="7CF031AA"/>
    <w:rsid w:val="7D203346"/>
    <w:rsid w:val="7D3637E0"/>
    <w:rsid w:val="7D896688"/>
    <w:rsid w:val="7D987831"/>
    <w:rsid w:val="7D9F1E06"/>
    <w:rsid w:val="7DCB716E"/>
    <w:rsid w:val="7DE32996"/>
    <w:rsid w:val="7DFF6BDA"/>
    <w:rsid w:val="7E0F07FA"/>
    <w:rsid w:val="7E332868"/>
    <w:rsid w:val="7E5D79CD"/>
    <w:rsid w:val="7E667576"/>
    <w:rsid w:val="7E72073B"/>
    <w:rsid w:val="7E755B73"/>
    <w:rsid w:val="7E970FF2"/>
    <w:rsid w:val="7EDE7A9B"/>
    <w:rsid w:val="7F3D2750"/>
    <w:rsid w:val="7F4D3722"/>
    <w:rsid w:val="7F4F14BD"/>
    <w:rsid w:val="7F74587A"/>
    <w:rsid w:val="7F793BEA"/>
    <w:rsid w:val="7F9148B8"/>
    <w:rsid w:val="7FB82D47"/>
    <w:rsid w:val="7FBF0355"/>
    <w:rsid w:val="7FDD7E12"/>
    <w:rsid w:val="7FE4497C"/>
    <w:rsid w:val="7FE86E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
      <w:sz w:val="24"/>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11">
    <w:name w:val="Default Paragraph Font"/>
    <w:unhideWhenUsed/>
    <w:qFormat/>
    <w:uiPriority w:val="1"/>
  </w:style>
  <w:style w:type="table" w:default="1" w:styleId="10">
    <w:name w:val="Normal Table"/>
    <w:autoRedefine/>
    <w:unhideWhenUsed/>
    <w:qFormat/>
    <w:uiPriority w:val="99"/>
    <w:tblPr>
      <w:tblCellMar>
        <w:top w:w="0" w:type="dxa"/>
        <w:left w:w="108" w:type="dxa"/>
        <w:bottom w:w="0" w:type="dxa"/>
        <w:right w:w="108" w:type="dxa"/>
      </w:tblCellMar>
    </w:tblPr>
  </w:style>
  <w:style w:type="paragraph" w:styleId="3">
    <w:name w:val="Normal Indent"/>
    <w:basedOn w:val="1"/>
    <w:autoRedefine/>
    <w:qFormat/>
    <w:uiPriority w:val="0"/>
    <w:pPr>
      <w:widowControl/>
      <w:ind w:firstLine="420"/>
      <w:jc w:val="left"/>
    </w:pPr>
    <w:rPr>
      <w:rFonts w:ascii="Times New Roman" w:hAnsi="Times New Roman" w:eastAsia="宋体" w:cs="Times New Roman"/>
      <w:kern w:val="0"/>
      <w:sz w:val="20"/>
      <w:szCs w:val="20"/>
      <w:lang w:val="zh-CN" w:eastAsia="zh-CN"/>
    </w:rPr>
  </w:style>
  <w:style w:type="paragraph" w:styleId="4">
    <w:name w:val="Body Text"/>
    <w:basedOn w:val="1"/>
    <w:autoRedefine/>
    <w:semiHidden/>
    <w:qFormat/>
    <w:uiPriority w:val="0"/>
    <w:rPr>
      <w:rFonts w:ascii="Arial" w:hAnsi="Arial" w:eastAsia="Arial" w:cs="Arial"/>
      <w:sz w:val="21"/>
      <w:szCs w:val="21"/>
      <w:lang w:val="en-US" w:eastAsia="en-US" w:bidi="ar-SA"/>
    </w:rPr>
  </w:style>
  <w:style w:type="paragraph" w:styleId="5">
    <w:name w:val="toc 3"/>
    <w:basedOn w:val="1"/>
    <w:next w:val="1"/>
    <w:autoRedefine/>
    <w:qFormat/>
    <w:uiPriority w:val="0"/>
    <w:rPr>
      <w:sz w:val="28"/>
      <w:szCs w:val="28"/>
    </w:rPr>
  </w:style>
  <w:style w:type="paragraph" w:styleId="6">
    <w:name w:val="Plain Text"/>
    <w:basedOn w:val="1"/>
    <w:autoRedefine/>
    <w:qFormat/>
    <w:uiPriority w:val="0"/>
    <w:rPr>
      <w:rFonts w:ascii="宋体" w:hAnsi="Courier New"/>
      <w:kern w:val="0"/>
      <w:sz w:val="20"/>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tabs>
        <w:tab w:val="center" w:pos="4153"/>
        <w:tab w:val="right" w:pos="8306"/>
      </w:tabs>
      <w:snapToGrid w:val="0"/>
    </w:pPr>
    <w:rPr>
      <w:rFonts w:ascii="Times New Roman" w:hAnsi="Times New Roman"/>
      <w:sz w:val="18"/>
    </w:rPr>
  </w:style>
  <w:style w:type="paragraph" w:styleId="9">
    <w:name w:val="Normal (Web)"/>
    <w:basedOn w:val="1"/>
    <w:autoRedefine/>
    <w:unhideWhenUsed/>
    <w:qFormat/>
    <w:uiPriority w:val="99"/>
    <w:pPr>
      <w:widowControl/>
      <w:jc w:val="left"/>
    </w:pPr>
    <w:rPr>
      <w:rFonts w:ascii="Arial Narrow" w:hAnsi="Arial Narrow" w:cs="宋体"/>
      <w:kern w:val="0"/>
      <w:sz w:val="21"/>
      <w:szCs w:val="21"/>
    </w:rPr>
  </w:style>
  <w:style w:type="character" w:styleId="12">
    <w:name w:val="Strong"/>
    <w:basedOn w:val="11"/>
    <w:autoRedefine/>
    <w:qFormat/>
    <w:uiPriority w:val="0"/>
    <w:rPr>
      <w:rFonts w:ascii="Times New Roman" w:hAnsi="Times New Roman" w:eastAsia="宋体" w:cs="Times New Roman"/>
      <w:b/>
      <w:bCs/>
    </w:rPr>
  </w:style>
  <w:style w:type="paragraph" w:customStyle="1" w:styleId="13">
    <w:name w:val="标4"/>
    <w:basedOn w:val="1"/>
    <w:autoRedefine/>
    <w:qFormat/>
    <w:uiPriority w:val="0"/>
    <w:pPr>
      <w:adjustRightInd w:val="0"/>
      <w:spacing w:before="240" w:after="360" w:line="240" w:lineRule="exact"/>
      <w:outlineLvl w:val="3"/>
    </w:pPr>
    <w:rPr>
      <w:rFonts w:ascii="Arial" w:hAnsi="Arial" w:cs="Arial"/>
      <w:b/>
      <w:bCs/>
      <w:kern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4098"/>
    <customShpInfo spid="_x0000_s4099"/>
    <customShpInfo spid="_x0000_s4100"/>
    <customShpInfo spid="_x0000_s4101"/>
    <customShpInfo spid="_x0000_s4102"/>
    <customShpInfo spid="_x0000_s4103"/>
    <customShpInfo spid="_x0000_s4104"/>
    <customShpInfo spid="_x0000_s1026" textRotate="1"/>
    <customShpInfo spid="_x0000_s4105"/>
    <customShpInfo spid="_x0000_s4106"/>
    <customShpInfo spid="_x0000_s4107"/>
    <customShpInfo spid="_x0000_s410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7957</Words>
  <Characters>8038</Characters>
  <Lines>43</Lines>
  <Paragraphs>12</Paragraphs>
  <TotalTime>0</TotalTime>
  <ScaleCrop>false</ScaleCrop>
  <LinksUpToDate>false</LinksUpToDate>
  <CharactersWithSpaces>9549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2020-11-17T01:18:00Z</dcterms:created>
  <dc:creator>陆港</dc:creator>
  <cp:lastModifiedBy>WPS_1477790454</cp:lastModifiedBy>
  <cp:lastPrinted>2013-04-11T08:27:00Z</cp:lastPrinted>
  <dcterms:modified xsi:type="dcterms:W3CDTF">2026-01-04T01:30:35Z</dcterms:modified>
  <dc:title>购 销 合 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97F8FF06C405438BBD5529B7E56DD28A_13</vt:lpwstr>
  </property>
  <property fmtid="{D5CDD505-2E9C-101B-9397-08002B2CF9AE}" pid="4" name="KSOTemplateDocerSaveRecord">
    <vt:lpwstr>eyJoZGlkIjoiMGMzNjQwMjZjOTliMDZjNzY2ZTM1N2RmZjY4ZWI3MzEiLCJ1c2VySWQiOiIxNDc3NzkwNDU0In0=</vt:lpwstr>
  </property>
</Properties>
</file>