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F47255">
      <w:pPr>
        <w:spacing w:line="560" w:lineRule="exact"/>
        <w:jc w:val="center"/>
        <w:rPr>
          <w:rFonts w:hint="eastAsia" w:ascii="仿宋" w:hAnsi="仿宋" w:eastAsia="仿宋" w:cs="仿宋"/>
          <w:b/>
          <w:color w:val="auto"/>
          <w:sz w:val="44"/>
          <w:szCs w:val="44"/>
          <w:highlight w:val="none"/>
        </w:rPr>
      </w:pPr>
      <w:bookmarkStart w:id="0" w:name="EBbf781be4a1284c758e2f568798926d05"/>
      <w:permStart w:id="0" w:edGrp="everyone"/>
      <w:r>
        <w:rPr>
          <w:rFonts w:hint="eastAsia" w:ascii="仿宋" w:hAnsi="仿宋" w:eastAsia="仿宋" w:cs="仿宋"/>
          <w:b/>
          <w:color w:val="auto"/>
          <w:sz w:val="44"/>
          <w:szCs w:val="44"/>
          <w:highlight w:val="none"/>
          <w:u w:val="single"/>
        </w:rPr>
        <w:t xml:space="preserve"> </w:t>
      </w:r>
      <w:r>
        <w:rPr>
          <w:rFonts w:hint="eastAsia" w:ascii="宋体" w:hAnsi="宋体" w:cs="Times New Roman"/>
          <w:b/>
          <w:color w:val="auto"/>
          <w:sz w:val="44"/>
          <w:szCs w:val="44"/>
          <w:highlight w:val="none"/>
          <w:u w:val="single"/>
          <w:lang w:val="en-US" w:eastAsia="zh-CN"/>
        </w:rPr>
        <w:t>耒阳市蔡伦纸品产业配套建设项目EPC+O总承包</w:t>
      </w:r>
      <w:permEnd w:id="0"/>
      <w:r>
        <w:rPr>
          <w:rFonts w:hint="eastAsia" w:ascii="仿宋" w:hAnsi="仿宋" w:eastAsia="仿宋" w:cs="仿宋"/>
          <w:b/>
          <w:color w:val="auto"/>
          <w:sz w:val="44"/>
          <w:szCs w:val="44"/>
          <w:highlight w:val="none"/>
        </w:rPr>
        <w:t>工程</w:t>
      </w:r>
    </w:p>
    <w:p w14:paraId="4D6FFE58">
      <w:pPr>
        <w:spacing w:line="560" w:lineRule="exact"/>
        <w:rPr>
          <w:rFonts w:hint="eastAsia" w:ascii="仿宋" w:hAnsi="仿宋" w:eastAsia="仿宋" w:cs="仿宋"/>
          <w:b/>
          <w:color w:val="auto"/>
          <w:sz w:val="44"/>
          <w:szCs w:val="44"/>
          <w:highlight w:val="none"/>
        </w:rPr>
      </w:pPr>
    </w:p>
    <w:p w14:paraId="4B94493C">
      <w:pPr>
        <w:spacing w:line="560" w:lineRule="exact"/>
        <w:jc w:val="center"/>
        <w:rPr>
          <w:rFonts w:hint="default" w:ascii="仿宋" w:hAnsi="仿宋" w:eastAsia="仿宋" w:cs="仿宋"/>
          <w:b/>
          <w:color w:val="auto"/>
          <w:sz w:val="44"/>
          <w:szCs w:val="44"/>
          <w:highlight w:val="none"/>
          <w:lang w:val="en-US" w:eastAsia="zh-CN"/>
        </w:rPr>
      </w:pPr>
      <w:permStart w:id="1" w:edGrp="everyone"/>
      <w:r>
        <w:rPr>
          <w:rFonts w:hint="eastAsia" w:ascii="仿宋" w:hAnsi="仿宋" w:eastAsia="仿宋" w:cs="仿宋"/>
          <w:b/>
          <w:color w:val="auto"/>
          <w:sz w:val="44"/>
          <w:szCs w:val="44"/>
          <w:highlight w:val="none"/>
          <w:u w:val="single"/>
        </w:rPr>
        <w:t xml:space="preserve"> 电动单梁起重机 </w:t>
      </w:r>
      <w:permEnd w:id="1"/>
      <w:r>
        <w:rPr>
          <w:rFonts w:hint="eastAsia" w:ascii="仿宋" w:hAnsi="仿宋" w:eastAsia="仿宋" w:cs="仿宋"/>
          <w:b/>
          <w:color w:val="auto"/>
          <w:sz w:val="44"/>
          <w:szCs w:val="44"/>
          <w:highlight w:val="none"/>
        </w:rPr>
        <w:t>采购</w:t>
      </w:r>
    </w:p>
    <w:p w14:paraId="065B950E">
      <w:pPr>
        <w:spacing w:line="520" w:lineRule="exact"/>
        <w:jc w:val="center"/>
        <w:rPr>
          <w:rFonts w:hint="eastAsia" w:ascii="仿宋" w:hAnsi="仿宋" w:eastAsia="仿宋" w:cs="仿宋"/>
          <w:b/>
          <w:color w:val="auto"/>
          <w:sz w:val="44"/>
          <w:szCs w:val="44"/>
          <w:highlight w:val="none"/>
        </w:rPr>
      </w:pPr>
    </w:p>
    <w:p w14:paraId="1EBB30CB">
      <w:pPr>
        <w:spacing w:line="520" w:lineRule="exact"/>
        <w:rPr>
          <w:rFonts w:hint="eastAsia" w:ascii="仿宋" w:hAnsi="仿宋" w:eastAsia="仿宋" w:cs="仿宋"/>
          <w:b/>
          <w:color w:val="auto"/>
          <w:sz w:val="44"/>
          <w:szCs w:val="44"/>
          <w:highlight w:val="none"/>
        </w:rPr>
      </w:pPr>
    </w:p>
    <w:p w14:paraId="15EDB5B7">
      <w:pPr>
        <w:spacing w:line="360" w:lineRule="auto"/>
        <w:jc w:val="center"/>
        <w:rPr>
          <w:rFonts w:hint="eastAsia" w:ascii="仿宋" w:hAnsi="仿宋" w:eastAsia="仿宋" w:cs="仿宋"/>
          <w:b/>
          <w:color w:val="auto"/>
          <w:sz w:val="80"/>
          <w:szCs w:val="80"/>
          <w:highlight w:val="none"/>
        </w:rPr>
      </w:pPr>
      <w:r>
        <w:rPr>
          <w:rFonts w:hint="eastAsia" w:ascii="仿宋" w:hAnsi="仿宋" w:eastAsia="仿宋" w:cs="仿宋"/>
          <w:b/>
          <w:color w:val="auto"/>
          <w:sz w:val="80"/>
          <w:szCs w:val="80"/>
          <w:highlight w:val="none"/>
        </w:rPr>
        <w:t xml:space="preserve">招 标 文 件 </w:t>
      </w:r>
    </w:p>
    <w:p w14:paraId="1F0F19FE">
      <w:pPr>
        <w:spacing w:line="360" w:lineRule="auto"/>
        <w:jc w:val="center"/>
        <w:rPr>
          <w:rFonts w:hint="eastAsia" w:ascii="仿宋" w:hAnsi="仿宋" w:eastAsia="仿宋" w:cs="仿宋"/>
          <w:b/>
          <w:color w:val="auto"/>
          <w:sz w:val="36"/>
          <w:szCs w:val="36"/>
          <w:highlight w:val="none"/>
        </w:rPr>
      </w:pPr>
      <w:r>
        <w:rPr>
          <w:rFonts w:hint="eastAsia" w:ascii="仿宋" w:hAnsi="仿宋" w:eastAsia="仿宋" w:cs="仿宋"/>
          <w:b/>
          <w:color w:val="auto"/>
          <w:sz w:val="36"/>
          <w:szCs w:val="36"/>
          <w:highlight w:val="none"/>
          <w:lang w:eastAsia="zh-CN"/>
        </w:rPr>
        <w:t>（</w:t>
      </w:r>
      <w:r>
        <w:rPr>
          <w:rFonts w:hint="eastAsia" w:ascii="仿宋" w:hAnsi="仿宋" w:eastAsia="仿宋" w:cs="仿宋"/>
          <w:b/>
          <w:color w:val="auto"/>
          <w:sz w:val="36"/>
          <w:szCs w:val="36"/>
          <w:highlight w:val="none"/>
        </w:rPr>
        <w:t>招标编号</w:t>
      </w:r>
      <w:r>
        <w:rPr>
          <w:rFonts w:hint="eastAsia" w:ascii="仿宋" w:hAnsi="仿宋" w:eastAsia="仿宋" w:cs="仿宋"/>
          <w:b/>
          <w:color w:val="auto"/>
          <w:sz w:val="36"/>
          <w:szCs w:val="36"/>
          <w:highlight w:val="none"/>
          <w:lang w:eastAsia="zh-CN"/>
        </w:rPr>
        <w:t>：</w:t>
      </w:r>
      <w:permStart w:id="2" w:edGrp="everyone"/>
      <w:r>
        <w:rPr>
          <w:rFonts w:hint="eastAsia" w:ascii="仿宋" w:hAnsi="仿宋" w:eastAsia="仿宋" w:cs="仿宋"/>
          <w:b/>
          <w:color w:val="auto"/>
          <w:sz w:val="36"/>
          <w:szCs w:val="36"/>
          <w:highlight w:val="none"/>
          <w:u w:val="single"/>
        </w:rPr>
        <w:t>ACEG-202510256001001</w:t>
      </w:r>
      <w:permEnd w:id="2"/>
      <w:r>
        <w:rPr>
          <w:rFonts w:hint="eastAsia" w:ascii="仿宋" w:hAnsi="仿宋" w:eastAsia="仿宋" w:cs="仿宋"/>
          <w:b/>
          <w:color w:val="auto"/>
          <w:sz w:val="36"/>
          <w:szCs w:val="36"/>
          <w:highlight w:val="none"/>
        </w:rPr>
        <w:t>)</w:t>
      </w:r>
    </w:p>
    <w:p w14:paraId="5518C436">
      <w:pPr>
        <w:pStyle w:val="9"/>
        <w:rPr>
          <w:rFonts w:hint="eastAsia" w:ascii="仿宋" w:hAnsi="仿宋" w:eastAsia="仿宋" w:cs="仿宋"/>
          <w:color w:val="auto"/>
        </w:rPr>
      </w:pPr>
    </w:p>
    <w:p w14:paraId="1A2EB1CB">
      <w:pPr>
        <w:spacing w:line="520" w:lineRule="exact"/>
        <w:rPr>
          <w:rFonts w:hint="eastAsia" w:ascii="仿宋" w:hAnsi="仿宋" w:eastAsia="仿宋" w:cs="仿宋"/>
          <w:b/>
          <w:color w:val="auto"/>
          <w:sz w:val="30"/>
          <w:szCs w:val="30"/>
          <w:highlight w:val="none"/>
        </w:rPr>
      </w:pPr>
      <w:permStart w:id="3" w:edGrp="everyone"/>
      <w:permEnd w:id="3"/>
    </w:p>
    <w:p w14:paraId="7E7EE9C2">
      <w:pPr>
        <w:spacing w:line="360" w:lineRule="auto"/>
        <w:jc w:val="center"/>
        <w:rPr>
          <w:rFonts w:hint="eastAsia" w:ascii="仿宋" w:hAnsi="仿宋" w:eastAsia="仿宋" w:cs="仿宋"/>
          <w:b/>
          <w:color w:val="auto"/>
          <w:sz w:val="30"/>
          <w:szCs w:val="30"/>
          <w:highlight w:val="none"/>
        </w:rPr>
      </w:pPr>
      <w:r>
        <w:rPr>
          <w:rFonts w:ascii="宋体" w:hAnsi="宋体" w:eastAsia="宋体" w:cs="宋体"/>
          <w:color w:val="auto"/>
          <w:sz w:val="24"/>
          <w:szCs w:val="24"/>
          <w:highlight w:val="none"/>
        </w:rPr>
        <w:drawing>
          <wp:inline distT="0" distB="0" distL="114300" distR="114300">
            <wp:extent cx="3288665" cy="1153160"/>
            <wp:effectExtent l="0" t="0" r="6985" b="8890"/>
            <wp:docPr id="1"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 descr="IMG_256"/>
                    <pic:cNvPicPr>
                      <a:picLocks noChangeAspect="1"/>
                    </pic:cNvPicPr>
                  </pic:nvPicPr>
                  <pic:blipFill>
                    <a:blip r:embed="rId8"/>
                    <a:stretch>
                      <a:fillRect/>
                    </a:stretch>
                  </pic:blipFill>
                  <pic:spPr>
                    <a:xfrm>
                      <a:off x="0" y="0"/>
                      <a:ext cx="3288665" cy="1153160"/>
                    </a:xfrm>
                    <a:prstGeom prst="rect">
                      <a:avLst/>
                    </a:prstGeom>
                    <a:noFill/>
                    <a:ln>
                      <a:noFill/>
                    </a:ln>
                  </pic:spPr>
                </pic:pic>
              </a:graphicData>
            </a:graphic>
          </wp:inline>
        </w:drawing>
      </w:r>
    </w:p>
    <w:p w14:paraId="31F64AE9">
      <w:pPr>
        <w:spacing w:line="440" w:lineRule="exact"/>
        <w:jc w:val="center"/>
        <w:rPr>
          <w:rFonts w:hint="eastAsia" w:ascii="仿宋" w:hAnsi="仿宋" w:eastAsia="仿宋" w:cs="仿宋"/>
          <w:b/>
          <w:color w:val="auto"/>
          <w:sz w:val="72"/>
          <w:szCs w:val="72"/>
          <w:highlight w:val="none"/>
        </w:rPr>
      </w:pPr>
    </w:p>
    <w:p w14:paraId="6B3F16E7">
      <w:pPr>
        <w:spacing w:line="440" w:lineRule="exact"/>
        <w:jc w:val="center"/>
        <w:rPr>
          <w:rFonts w:hint="eastAsia" w:ascii="仿宋" w:hAnsi="仿宋" w:eastAsia="仿宋" w:cs="仿宋"/>
          <w:b/>
          <w:color w:val="auto"/>
          <w:sz w:val="32"/>
          <w:szCs w:val="22"/>
          <w:highlight w:val="none"/>
        </w:rPr>
      </w:pPr>
    </w:p>
    <w:p w14:paraId="55C602A6">
      <w:pPr>
        <w:pStyle w:val="9"/>
        <w:rPr>
          <w:rFonts w:hint="eastAsia" w:ascii="仿宋" w:hAnsi="仿宋" w:eastAsia="仿宋" w:cs="仿宋"/>
          <w:b/>
          <w:color w:val="auto"/>
          <w:sz w:val="32"/>
          <w:szCs w:val="22"/>
          <w:highlight w:val="none"/>
        </w:rPr>
      </w:pPr>
    </w:p>
    <w:p w14:paraId="123CD7E2">
      <w:pPr>
        <w:rPr>
          <w:rFonts w:hint="eastAsia" w:ascii="仿宋" w:hAnsi="仿宋" w:eastAsia="仿宋" w:cs="仿宋"/>
          <w:color w:val="auto"/>
        </w:rPr>
      </w:pPr>
    </w:p>
    <w:p w14:paraId="49ADD01D">
      <w:pPr>
        <w:spacing w:line="440" w:lineRule="exact"/>
        <w:jc w:val="center"/>
        <w:rPr>
          <w:rFonts w:hint="eastAsia" w:ascii="仿宋" w:hAnsi="仿宋" w:eastAsia="仿宋" w:cs="仿宋"/>
          <w:b/>
          <w:color w:val="auto"/>
          <w:sz w:val="32"/>
          <w:szCs w:val="22"/>
          <w:highlight w:val="none"/>
        </w:rPr>
      </w:pPr>
    </w:p>
    <w:p w14:paraId="608C6D13">
      <w:pPr>
        <w:spacing w:line="440" w:lineRule="exact"/>
        <w:rPr>
          <w:rFonts w:hint="eastAsia" w:ascii="仿宋" w:hAnsi="仿宋" w:eastAsia="仿宋" w:cs="仿宋"/>
          <w:b/>
          <w:color w:val="auto"/>
          <w:sz w:val="32"/>
          <w:szCs w:val="22"/>
          <w:highlight w:val="none"/>
        </w:rPr>
      </w:pPr>
    </w:p>
    <w:p w14:paraId="35F92B60">
      <w:pPr>
        <w:spacing w:line="440" w:lineRule="exact"/>
        <w:ind w:firstLine="1446" w:firstLineChars="400"/>
        <w:jc w:val="left"/>
        <w:rPr>
          <w:rFonts w:hint="default" w:ascii="仿宋" w:hAnsi="仿宋" w:eastAsia="仿宋" w:cs="仿宋"/>
          <w:b/>
          <w:color w:val="auto"/>
          <w:sz w:val="36"/>
          <w:szCs w:val="36"/>
          <w:highlight w:val="none"/>
          <w:u w:val="single"/>
          <w:lang w:val="en-US"/>
        </w:rPr>
      </w:pPr>
      <w:r>
        <w:rPr>
          <w:rFonts w:hint="eastAsia" w:ascii="仿宋" w:hAnsi="仿宋" w:eastAsia="仿宋" w:cs="仿宋"/>
          <w:b/>
          <w:color w:val="auto"/>
          <w:sz w:val="36"/>
          <w:szCs w:val="36"/>
          <w:highlight w:val="none"/>
        </w:rPr>
        <w:t>招标人：</w:t>
      </w:r>
      <w:r>
        <w:rPr>
          <w:rFonts w:hint="eastAsia" w:ascii="宋体" w:hAnsi="宋体" w:cs="宋体"/>
          <w:b/>
          <w:bCs/>
          <w:color w:val="000000"/>
          <w:sz w:val="36"/>
          <w:szCs w:val="36"/>
          <w:highlight w:val="none"/>
          <w:u w:val="single"/>
          <w:lang w:val="en-US" w:eastAsia="zh-CN"/>
        </w:rPr>
        <w:t>湖南安建建设开发有限公司</w:t>
      </w:r>
    </w:p>
    <w:p w14:paraId="3EE5FB7A">
      <w:pPr>
        <w:spacing w:line="440" w:lineRule="exact"/>
        <w:jc w:val="center"/>
        <w:rPr>
          <w:rFonts w:hint="eastAsia" w:ascii="仿宋" w:hAnsi="仿宋" w:eastAsia="仿宋" w:cs="仿宋"/>
          <w:b/>
          <w:color w:val="auto"/>
          <w:sz w:val="36"/>
          <w:szCs w:val="36"/>
          <w:highlight w:val="none"/>
        </w:rPr>
      </w:pPr>
    </w:p>
    <w:p w14:paraId="649986C4">
      <w:pPr>
        <w:spacing w:line="440" w:lineRule="exact"/>
        <w:jc w:val="center"/>
        <w:rPr>
          <w:rFonts w:hint="eastAsia" w:ascii="仿宋" w:hAnsi="仿宋" w:eastAsia="仿宋" w:cs="仿宋"/>
          <w:b/>
          <w:color w:val="auto"/>
          <w:sz w:val="36"/>
          <w:szCs w:val="36"/>
          <w:highlight w:val="none"/>
          <w:u w:val="single"/>
        </w:rPr>
      </w:pPr>
      <w:permStart w:id="4" w:edGrp="everyone"/>
      <w:r>
        <w:rPr>
          <w:rFonts w:hint="eastAsia" w:ascii="仿宋" w:hAnsi="仿宋" w:eastAsia="仿宋" w:cs="仿宋"/>
          <w:b/>
          <w:color w:val="auto"/>
          <w:sz w:val="36"/>
          <w:szCs w:val="36"/>
          <w:highlight w:val="none"/>
          <w:u w:val="single"/>
          <w:lang w:eastAsia="zh-CN"/>
        </w:rPr>
        <w:fldChar w:fldCharType="begin"/>
      </w:r>
      <w:r>
        <w:rPr>
          <w:rFonts w:hint="eastAsia" w:ascii="仿宋" w:hAnsi="仿宋" w:eastAsia="仿宋" w:cs="仿宋"/>
          <w:b/>
          <w:color w:val="auto"/>
          <w:sz w:val="36"/>
          <w:szCs w:val="36"/>
          <w:highlight w:val="none"/>
          <w:u w:val="single"/>
          <w:lang w:eastAsia="zh-CN"/>
        </w:rPr>
        <w:instrText xml:space="preserve">DATE \@ "EEEE年O月"</w:instrText>
      </w:r>
      <w:r>
        <w:rPr>
          <w:rFonts w:hint="eastAsia" w:ascii="仿宋" w:hAnsi="仿宋" w:eastAsia="仿宋" w:cs="仿宋"/>
          <w:b/>
          <w:color w:val="auto"/>
          <w:sz w:val="36"/>
          <w:szCs w:val="36"/>
          <w:highlight w:val="none"/>
          <w:u w:val="single"/>
          <w:lang w:eastAsia="zh-CN"/>
        </w:rPr>
        <w:fldChar w:fldCharType="separate"/>
      </w:r>
      <w:r>
        <w:rPr>
          <w:rFonts w:hint="eastAsia" w:ascii="仿宋" w:hAnsi="仿宋" w:eastAsia="仿宋" w:cs="仿宋"/>
          <w:b/>
          <w:color w:val="auto"/>
          <w:sz w:val="36"/>
          <w:szCs w:val="36"/>
          <w:highlight w:val="none"/>
          <w:u w:val="single"/>
          <w:lang w:eastAsia="zh-CN"/>
        </w:rPr>
        <w:t>二〇二五年十月</w:t>
      </w:r>
      <w:r>
        <w:rPr>
          <w:rFonts w:hint="eastAsia" w:ascii="仿宋" w:hAnsi="仿宋" w:eastAsia="仿宋" w:cs="仿宋"/>
          <w:b/>
          <w:color w:val="auto"/>
          <w:sz w:val="36"/>
          <w:szCs w:val="36"/>
          <w:highlight w:val="none"/>
          <w:u w:val="single"/>
          <w:lang w:eastAsia="zh-CN"/>
        </w:rPr>
        <w:fldChar w:fldCharType="end"/>
      </w:r>
    </w:p>
    <w:permEnd w:id="4"/>
    <w:p w14:paraId="0BD707DE">
      <w:pPr>
        <w:spacing w:line="360" w:lineRule="auto"/>
        <w:jc w:val="center"/>
        <w:rPr>
          <w:rFonts w:hint="eastAsia" w:ascii="仿宋" w:hAnsi="仿宋" w:eastAsia="仿宋" w:cs="仿宋"/>
          <w:b/>
          <w:color w:val="auto"/>
          <w:spacing w:val="20"/>
          <w:kern w:val="0"/>
          <w:sz w:val="36"/>
          <w:szCs w:val="44"/>
          <w:highlight w:val="none"/>
        </w:rPr>
      </w:pPr>
      <w:r>
        <w:rPr>
          <w:rFonts w:hint="eastAsia" w:ascii="仿宋" w:hAnsi="仿宋" w:eastAsia="仿宋" w:cs="仿宋"/>
          <w:b/>
          <w:color w:val="auto"/>
          <w:spacing w:val="20"/>
          <w:kern w:val="0"/>
          <w:sz w:val="20"/>
          <w:szCs w:val="44"/>
          <w:highlight w:val="none"/>
        </w:rPr>
        <w:t xml:space="preserve"> </w:t>
      </w:r>
      <w:bookmarkEnd w:id="0"/>
    </w:p>
    <w:p w14:paraId="34195F49">
      <w:pPr>
        <w:spacing w:line="400" w:lineRule="exact"/>
        <w:rPr>
          <w:rFonts w:hint="eastAsia" w:ascii="仿宋" w:hAnsi="仿宋" w:eastAsia="仿宋" w:cs="仿宋"/>
          <w:color w:val="auto"/>
          <w:highlight w:val="none"/>
        </w:rPr>
      </w:pPr>
    </w:p>
    <w:p w14:paraId="26066F10">
      <w:pPr>
        <w:spacing w:line="440" w:lineRule="exact"/>
        <w:rPr>
          <w:rFonts w:hint="eastAsia" w:ascii="仿宋" w:hAnsi="仿宋" w:eastAsia="仿宋" w:cs="仿宋"/>
          <w:b/>
          <w:color w:val="auto"/>
          <w:sz w:val="32"/>
          <w:szCs w:val="22"/>
          <w:highlight w:val="none"/>
        </w:rPr>
      </w:pPr>
    </w:p>
    <w:p w14:paraId="2BD15C2F">
      <w:pPr>
        <w:pStyle w:val="70"/>
        <w:spacing w:line="560" w:lineRule="exact"/>
        <w:jc w:val="center"/>
        <w:rPr>
          <w:rFonts w:hint="eastAsia" w:ascii="仿宋" w:hAnsi="仿宋" w:eastAsia="仿宋" w:cs="仿宋"/>
          <w:b/>
          <w:color w:val="auto"/>
          <w:sz w:val="44"/>
          <w:szCs w:val="44"/>
          <w:highlight w:val="none"/>
          <w:lang w:val="zh-CN"/>
        </w:rPr>
      </w:pPr>
    </w:p>
    <w:p w14:paraId="7E56684A">
      <w:pPr>
        <w:pStyle w:val="70"/>
        <w:spacing w:line="560" w:lineRule="exact"/>
        <w:jc w:val="center"/>
        <w:rPr>
          <w:rFonts w:hint="eastAsia" w:ascii="仿宋" w:hAnsi="仿宋" w:eastAsia="仿宋" w:cs="仿宋"/>
          <w:b/>
          <w:color w:val="auto"/>
          <w:sz w:val="44"/>
          <w:szCs w:val="44"/>
          <w:highlight w:val="none"/>
          <w:lang w:val="zh-CN"/>
        </w:rPr>
      </w:pPr>
      <w:bookmarkStart w:id="1" w:name="_Toc18818"/>
      <w:r>
        <w:rPr>
          <w:rFonts w:hint="eastAsia" w:ascii="仿宋" w:hAnsi="仿宋" w:eastAsia="仿宋" w:cs="仿宋"/>
          <w:b/>
          <w:color w:val="auto"/>
          <w:sz w:val="44"/>
          <w:szCs w:val="44"/>
          <w:highlight w:val="none"/>
          <w:lang w:val="zh-CN"/>
        </w:rPr>
        <w:t>目   录</w:t>
      </w:r>
      <w:bookmarkEnd w:id="1"/>
      <w:permStart w:id="5" w:edGrp="everyone"/>
      <w:permEnd w:id="5"/>
    </w:p>
    <w:p w14:paraId="59A698ED">
      <w:pPr>
        <w:rPr>
          <w:rFonts w:hint="eastAsia" w:ascii="仿宋" w:hAnsi="仿宋" w:eastAsia="仿宋" w:cs="仿宋"/>
          <w:color w:val="auto"/>
          <w:highlight w:val="none"/>
          <w:lang w:val="zh-CN"/>
        </w:rPr>
      </w:pPr>
    </w:p>
    <w:p w14:paraId="09A0E8A7">
      <w:pPr>
        <w:spacing w:line="560" w:lineRule="exact"/>
        <w:rPr>
          <w:rFonts w:hint="eastAsia" w:ascii="仿宋" w:hAnsi="仿宋" w:eastAsia="仿宋" w:cs="仿宋"/>
          <w:color w:val="auto"/>
          <w:highlight w:val="none"/>
        </w:rPr>
      </w:pPr>
    </w:p>
    <w:p w14:paraId="2683DC9D">
      <w:pPr>
        <w:pStyle w:val="19"/>
        <w:keepNext w:val="0"/>
        <w:keepLines w:val="0"/>
        <w:pageBreakBefore w:val="0"/>
        <w:widowControl w:val="0"/>
        <w:tabs>
          <w:tab w:val="right" w:leader="dot" w:pos="9282"/>
        </w:tabs>
        <w:kinsoku/>
        <w:wordWrap/>
        <w:overflowPunct/>
        <w:topLinePunct w:val="0"/>
        <w:autoSpaceDE/>
        <w:autoSpaceDN/>
        <w:bidi w:val="0"/>
        <w:adjustRightInd/>
        <w:snapToGrid/>
        <w:spacing w:line="360" w:lineRule="auto"/>
        <w:jc w:val="center"/>
        <w:textAlignment w:val="auto"/>
        <w:rPr>
          <w:color w:val="auto"/>
          <w:sz w:val="28"/>
          <w:szCs w:val="28"/>
        </w:rPr>
      </w:pPr>
      <w:r>
        <w:rPr>
          <w:rFonts w:hint="eastAsia" w:ascii="仿宋" w:hAnsi="仿宋" w:eastAsia="仿宋" w:cs="仿宋"/>
          <w:color w:val="auto"/>
          <w:sz w:val="24"/>
          <w:highlight w:val="none"/>
        </w:rPr>
        <w:fldChar w:fldCharType="begin"/>
      </w:r>
      <w:r>
        <w:rPr>
          <w:rFonts w:hint="eastAsia" w:ascii="仿宋" w:hAnsi="仿宋" w:eastAsia="仿宋" w:cs="仿宋"/>
          <w:color w:val="auto"/>
          <w:sz w:val="24"/>
          <w:highlight w:val="none"/>
        </w:rPr>
        <w:instrText xml:space="preserve"> TOC \o "1-3" \h \z \u </w:instrText>
      </w:r>
      <w:r>
        <w:rPr>
          <w:rFonts w:hint="eastAsia" w:ascii="仿宋" w:hAnsi="仿宋" w:eastAsia="仿宋" w:cs="仿宋"/>
          <w:color w:val="auto"/>
          <w:sz w:val="24"/>
          <w:highlight w:val="none"/>
        </w:rPr>
        <w:fldChar w:fldCharType="separate"/>
      </w:r>
    </w:p>
    <w:p w14:paraId="565A76D4">
      <w:pPr>
        <w:pStyle w:val="19"/>
        <w:keepNext w:val="0"/>
        <w:keepLines w:val="0"/>
        <w:pageBreakBefore w:val="0"/>
        <w:widowControl w:val="0"/>
        <w:tabs>
          <w:tab w:val="right" w:leader="dot" w:pos="9282"/>
        </w:tabs>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rPr>
      </w:pPr>
      <w:r>
        <w:rPr>
          <w:rFonts w:hint="eastAsia" w:ascii="仿宋" w:hAnsi="仿宋" w:eastAsia="仿宋" w:cs="仿宋"/>
          <w:b/>
          <w:bCs/>
          <w:color w:val="auto"/>
          <w:sz w:val="28"/>
          <w:szCs w:val="28"/>
          <w:highlight w:val="none"/>
          <w:lang w:val="zh-CN"/>
        </w:rPr>
        <w:fldChar w:fldCharType="begin"/>
      </w:r>
      <w:r>
        <w:rPr>
          <w:rFonts w:hint="eastAsia" w:ascii="仿宋" w:hAnsi="仿宋" w:eastAsia="仿宋" w:cs="仿宋"/>
          <w:b/>
          <w:bCs/>
          <w:color w:val="auto"/>
          <w:sz w:val="28"/>
          <w:szCs w:val="28"/>
          <w:highlight w:val="none"/>
          <w:lang w:val="zh-CN"/>
        </w:rPr>
        <w:instrText xml:space="preserve"> HYPERLINK \l _Toc23337 </w:instrText>
      </w:r>
      <w:r>
        <w:rPr>
          <w:rFonts w:hint="eastAsia" w:ascii="仿宋" w:hAnsi="仿宋" w:eastAsia="仿宋" w:cs="仿宋"/>
          <w:b/>
          <w:bCs/>
          <w:color w:val="auto"/>
          <w:sz w:val="28"/>
          <w:szCs w:val="28"/>
          <w:highlight w:val="none"/>
          <w:lang w:val="zh-CN"/>
        </w:rPr>
        <w:fldChar w:fldCharType="separate"/>
      </w:r>
      <w:r>
        <w:rPr>
          <w:rFonts w:hint="eastAsia" w:ascii="仿宋" w:hAnsi="仿宋" w:eastAsia="仿宋" w:cs="仿宋"/>
          <w:b/>
          <w:bCs/>
          <w:color w:val="auto"/>
          <w:sz w:val="28"/>
          <w:szCs w:val="28"/>
          <w:lang w:val="en-US" w:eastAsia="zh-CN"/>
        </w:rPr>
        <w:t>第一章 招标公告</w:t>
      </w:r>
      <w:r>
        <w:rPr>
          <w:rFonts w:hint="eastAsia" w:ascii="仿宋" w:hAnsi="仿宋" w:eastAsia="仿宋" w:cs="仿宋"/>
          <w:b/>
          <w:bCs/>
          <w:color w:val="auto"/>
          <w:sz w:val="28"/>
          <w:szCs w:val="28"/>
        </w:rPr>
        <w:tab/>
      </w:r>
      <w:r>
        <w:rPr>
          <w:rFonts w:hint="eastAsia" w:ascii="仿宋" w:hAnsi="仿宋" w:eastAsia="仿宋" w:cs="仿宋"/>
          <w:b/>
          <w:bCs/>
          <w:color w:val="auto"/>
          <w:sz w:val="28"/>
          <w:szCs w:val="28"/>
        </w:rPr>
        <w:fldChar w:fldCharType="begin"/>
      </w:r>
      <w:r>
        <w:rPr>
          <w:rFonts w:hint="eastAsia" w:ascii="仿宋" w:hAnsi="仿宋" w:eastAsia="仿宋" w:cs="仿宋"/>
          <w:b/>
          <w:bCs/>
          <w:color w:val="auto"/>
          <w:sz w:val="28"/>
          <w:szCs w:val="28"/>
        </w:rPr>
        <w:instrText xml:space="preserve"> PAGEREF _Toc23337 \h </w:instrText>
      </w:r>
      <w:r>
        <w:rPr>
          <w:rFonts w:hint="eastAsia" w:ascii="仿宋" w:hAnsi="仿宋" w:eastAsia="仿宋" w:cs="仿宋"/>
          <w:b/>
          <w:bCs/>
          <w:color w:val="auto"/>
          <w:sz w:val="28"/>
          <w:szCs w:val="28"/>
        </w:rPr>
        <w:fldChar w:fldCharType="separate"/>
      </w:r>
      <w:r>
        <w:rPr>
          <w:rFonts w:hint="eastAsia" w:ascii="仿宋" w:hAnsi="仿宋" w:eastAsia="仿宋" w:cs="仿宋"/>
          <w:b/>
          <w:bCs/>
          <w:color w:val="auto"/>
          <w:sz w:val="28"/>
          <w:szCs w:val="28"/>
        </w:rPr>
        <w:t>3</w:t>
      </w:r>
      <w:r>
        <w:rPr>
          <w:rFonts w:hint="eastAsia" w:ascii="仿宋" w:hAnsi="仿宋" w:eastAsia="仿宋" w:cs="仿宋"/>
          <w:b/>
          <w:bCs/>
          <w:color w:val="auto"/>
          <w:sz w:val="28"/>
          <w:szCs w:val="28"/>
        </w:rPr>
        <w:fldChar w:fldCharType="end"/>
      </w:r>
      <w:r>
        <w:rPr>
          <w:rFonts w:hint="eastAsia" w:ascii="仿宋" w:hAnsi="仿宋" w:eastAsia="仿宋" w:cs="仿宋"/>
          <w:b/>
          <w:bCs/>
          <w:color w:val="auto"/>
          <w:sz w:val="28"/>
          <w:szCs w:val="28"/>
          <w:highlight w:val="none"/>
          <w:lang w:val="zh-CN"/>
        </w:rPr>
        <w:fldChar w:fldCharType="end"/>
      </w:r>
    </w:p>
    <w:p w14:paraId="7E4F745B">
      <w:pPr>
        <w:pStyle w:val="19"/>
        <w:keepNext w:val="0"/>
        <w:keepLines w:val="0"/>
        <w:pageBreakBefore w:val="0"/>
        <w:widowControl w:val="0"/>
        <w:tabs>
          <w:tab w:val="right" w:leader="dot" w:pos="9282"/>
        </w:tabs>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rPr>
      </w:pPr>
      <w:r>
        <w:rPr>
          <w:rFonts w:hint="eastAsia" w:ascii="仿宋" w:hAnsi="仿宋" w:eastAsia="仿宋" w:cs="仿宋"/>
          <w:b/>
          <w:bCs/>
          <w:color w:val="auto"/>
          <w:sz w:val="28"/>
          <w:szCs w:val="28"/>
          <w:highlight w:val="none"/>
          <w:lang w:val="zh-CN"/>
        </w:rPr>
        <w:fldChar w:fldCharType="begin"/>
      </w:r>
      <w:r>
        <w:rPr>
          <w:rFonts w:hint="eastAsia" w:ascii="仿宋" w:hAnsi="仿宋" w:eastAsia="仿宋" w:cs="仿宋"/>
          <w:b/>
          <w:bCs/>
          <w:color w:val="auto"/>
          <w:sz w:val="28"/>
          <w:szCs w:val="28"/>
          <w:highlight w:val="none"/>
          <w:lang w:val="zh-CN"/>
        </w:rPr>
        <w:instrText xml:space="preserve"> HYPERLINK \l _Toc3067 </w:instrText>
      </w:r>
      <w:r>
        <w:rPr>
          <w:rFonts w:hint="eastAsia" w:ascii="仿宋" w:hAnsi="仿宋" w:eastAsia="仿宋" w:cs="仿宋"/>
          <w:b/>
          <w:bCs/>
          <w:color w:val="auto"/>
          <w:sz w:val="28"/>
          <w:szCs w:val="28"/>
          <w:highlight w:val="none"/>
          <w:lang w:val="zh-CN"/>
        </w:rPr>
        <w:fldChar w:fldCharType="separate"/>
      </w:r>
      <w:r>
        <w:rPr>
          <w:rFonts w:hint="eastAsia" w:ascii="仿宋" w:hAnsi="仿宋" w:eastAsia="仿宋" w:cs="仿宋"/>
          <w:b/>
          <w:bCs/>
          <w:color w:val="auto"/>
          <w:sz w:val="28"/>
          <w:szCs w:val="28"/>
          <w:lang w:val="en-US" w:eastAsia="zh-CN"/>
        </w:rPr>
        <w:t>第二章 投标须知</w:t>
      </w:r>
      <w:r>
        <w:rPr>
          <w:rFonts w:hint="eastAsia" w:ascii="仿宋" w:hAnsi="仿宋" w:eastAsia="仿宋" w:cs="仿宋"/>
          <w:b/>
          <w:bCs/>
          <w:color w:val="auto"/>
          <w:sz w:val="28"/>
          <w:szCs w:val="28"/>
        </w:rPr>
        <w:tab/>
      </w:r>
      <w:r>
        <w:rPr>
          <w:rFonts w:hint="eastAsia" w:ascii="仿宋" w:hAnsi="仿宋" w:eastAsia="仿宋" w:cs="仿宋"/>
          <w:b/>
          <w:bCs/>
          <w:color w:val="auto"/>
          <w:sz w:val="28"/>
          <w:szCs w:val="28"/>
        </w:rPr>
        <w:fldChar w:fldCharType="begin"/>
      </w:r>
      <w:r>
        <w:rPr>
          <w:rFonts w:hint="eastAsia" w:ascii="仿宋" w:hAnsi="仿宋" w:eastAsia="仿宋" w:cs="仿宋"/>
          <w:b/>
          <w:bCs/>
          <w:color w:val="auto"/>
          <w:sz w:val="28"/>
          <w:szCs w:val="28"/>
        </w:rPr>
        <w:instrText xml:space="preserve"> PAGEREF _Toc3067 \h </w:instrText>
      </w:r>
      <w:r>
        <w:rPr>
          <w:rFonts w:hint="eastAsia" w:ascii="仿宋" w:hAnsi="仿宋" w:eastAsia="仿宋" w:cs="仿宋"/>
          <w:b/>
          <w:bCs/>
          <w:color w:val="auto"/>
          <w:sz w:val="28"/>
          <w:szCs w:val="28"/>
        </w:rPr>
        <w:fldChar w:fldCharType="separate"/>
      </w:r>
      <w:r>
        <w:rPr>
          <w:rFonts w:hint="eastAsia" w:ascii="仿宋" w:hAnsi="仿宋" w:eastAsia="仿宋" w:cs="仿宋"/>
          <w:b/>
          <w:bCs/>
          <w:color w:val="auto"/>
          <w:sz w:val="28"/>
          <w:szCs w:val="28"/>
        </w:rPr>
        <w:t>5</w:t>
      </w:r>
      <w:r>
        <w:rPr>
          <w:rFonts w:hint="eastAsia" w:ascii="仿宋" w:hAnsi="仿宋" w:eastAsia="仿宋" w:cs="仿宋"/>
          <w:b/>
          <w:bCs/>
          <w:color w:val="auto"/>
          <w:sz w:val="28"/>
          <w:szCs w:val="28"/>
        </w:rPr>
        <w:fldChar w:fldCharType="end"/>
      </w:r>
      <w:r>
        <w:rPr>
          <w:rFonts w:hint="eastAsia" w:ascii="仿宋" w:hAnsi="仿宋" w:eastAsia="仿宋" w:cs="仿宋"/>
          <w:b/>
          <w:bCs/>
          <w:color w:val="auto"/>
          <w:sz w:val="28"/>
          <w:szCs w:val="28"/>
          <w:highlight w:val="none"/>
          <w:lang w:val="zh-CN"/>
        </w:rPr>
        <w:fldChar w:fldCharType="end"/>
      </w:r>
    </w:p>
    <w:p w14:paraId="6C5C9636">
      <w:pPr>
        <w:pStyle w:val="21"/>
        <w:keepNext w:val="0"/>
        <w:keepLines w:val="0"/>
        <w:pageBreakBefore w:val="0"/>
        <w:widowControl w:val="0"/>
        <w:tabs>
          <w:tab w:val="right" w:leader="dot" w:pos="9282"/>
        </w:tabs>
        <w:kinsoku/>
        <w:wordWrap/>
        <w:overflowPunct/>
        <w:topLinePunct w:val="0"/>
        <w:autoSpaceDE/>
        <w:autoSpaceDN/>
        <w:bidi w:val="0"/>
        <w:adjustRightInd/>
        <w:snapToGrid/>
        <w:spacing w:line="360" w:lineRule="auto"/>
        <w:ind w:left="0" w:leftChars="0" w:firstLine="0" w:firstLineChars="0"/>
        <w:textAlignment w:val="auto"/>
        <w:rPr>
          <w:rFonts w:hint="eastAsia" w:ascii="仿宋" w:hAnsi="仿宋" w:eastAsia="仿宋" w:cs="仿宋"/>
          <w:b/>
          <w:bCs/>
          <w:color w:val="auto"/>
          <w:sz w:val="28"/>
          <w:szCs w:val="28"/>
        </w:rPr>
      </w:pPr>
      <w:r>
        <w:rPr>
          <w:rFonts w:hint="eastAsia" w:ascii="仿宋" w:hAnsi="仿宋" w:eastAsia="仿宋" w:cs="仿宋"/>
          <w:b/>
          <w:bCs/>
          <w:color w:val="auto"/>
          <w:sz w:val="28"/>
          <w:szCs w:val="28"/>
          <w:highlight w:val="none"/>
          <w:lang w:val="zh-CN"/>
        </w:rPr>
        <w:fldChar w:fldCharType="begin"/>
      </w:r>
      <w:r>
        <w:rPr>
          <w:rFonts w:hint="eastAsia" w:ascii="仿宋" w:hAnsi="仿宋" w:eastAsia="仿宋" w:cs="仿宋"/>
          <w:b/>
          <w:bCs/>
          <w:color w:val="auto"/>
          <w:sz w:val="28"/>
          <w:szCs w:val="28"/>
          <w:highlight w:val="none"/>
          <w:lang w:val="zh-CN"/>
        </w:rPr>
        <w:instrText xml:space="preserve"> HYPERLINK \l _Toc7265 </w:instrText>
      </w:r>
      <w:r>
        <w:rPr>
          <w:rFonts w:hint="eastAsia" w:ascii="仿宋" w:hAnsi="仿宋" w:eastAsia="仿宋" w:cs="仿宋"/>
          <w:b/>
          <w:bCs/>
          <w:color w:val="auto"/>
          <w:sz w:val="28"/>
          <w:szCs w:val="28"/>
          <w:highlight w:val="none"/>
          <w:lang w:val="zh-CN"/>
        </w:rPr>
        <w:fldChar w:fldCharType="separate"/>
      </w:r>
      <w:r>
        <w:rPr>
          <w:rFonts w:hint="eastAsia" w:ascii="仿宋" w:hAnsi="仿宋" w:eastAsia="仿宋" w:cs="仿宋"/>
          <w:b/>
          <w:bCs/>
          <w:color w:val="auto"/>
          <w:kern w:val="44"/>
          <w:sz w:val="28"/>
          <w:szCs w:val="28"/>
          <w:lang w:val="en-US" w:eastAsia="zh-CN" w:bidi="ar-SA"/>
        </w:rPr>
        <w:t>第三章 评标办法（最低价法A类）</w:t>
      </w:r>
      <w:r>
        <w:rPr>
          <w:rFonts w:hint="eastAsia" w:ascii="仿宋" w:hAnsi="仿宋" w:eastAsia="仿宋" w:cs="仿宋"/>
          <w:b/>
          <w:bCs/>
          <w:color w:val="auto"/>
          <w:sz w:val="28"/>
          <w:szCs w:val="28"/>
        </w:rPr>
        <w:tab/>
      </w:r>
      <w:r>
        <w:rPr>
          <w:rFonts w:hint="eastAsia" w:ascii="仿宋" w:hAnsi="仿宋" w:eastAsia="仿宋" w:cs="仿宋"/>
          <w:b/>
          <w:bCs/>
          <w:color w:val="auto"/>
          <w:sz w:val="28"/>
          <w:szCs w:val="28"/>
        </w:rPr>
        <w:fldChar w:fldCharType="begin"/>
      </w:r>
      <w:r>
        <w:rPr>
          <w:rFonts w:hint="eastAsia" w:ascii="仿宋" w:hAnsi="仿宋" w:eastAsia="仿宋" w:cs="仿宋"/>
          <w:b/>
          <w:bCs/>
          <w:color w:val="auto"/>
          <w:sz w:val="28"/>
          <w:szCs w:val="28"/>
        </w:rPr>
        <w:instrText xml:space="preserve"> PAGEREF _Toc7265 \h </w:instrText>
      </w:r>
      <w:r>
        <w:rPr>
          <w:rFonts w:hint="eastAsia" w:ascii="仿宋" w:hAnsi="仿宋" w:eastAsia="仿宋" w:cs="仿宋"/>
          <w:b/>
          <w:bCs/>
          <w:color w:val="auto"/>
          <w:sz w:val="28"/>
          <w:szCs w:val="28"/>
        </w:rPr>
        <w:fldChar w:fldCharType="separate"/>
      </w:r>
      <w:r>
        <w:rPr>
          <w:rFonts w:hint="eastAsia" w:ascii="仿宋" w:hAnsi="仿宋" w:eastAsia="仿宋" w:cs="仿宋"/>
          <w:b/>
          <w:bCs/>
          <w:color w:val="auto"/>
          <w:sz w:val="28"/>
          <w:szCs w:val="28"/>
        </w:rPr>
        <w:t>17</w:t>
      </w:r>
      <w:r>
        <w:rPr>
          <w:rFonts w:hint="eastAsia" w:ascii="仿宋" w:hAnsi="仿宋" w:eastAsia="仿宋" w:cs="仿宋"/>
          <w:b/>
          <w:bCs/>
          <w:color w:val="auto"/>
          <w:sz w:val="28"/>
          <w:szCs w:val="28"/>
        </w:rPr>
        <w:fldChar w:fldCharType="end"/>
      </w:r>
      <w:r>
        <w:rPr>
          <w:rFonts w:hint="eastAsia" w:ascii="仿宋" w:hAnsi="仿宋" w:eastAsia="仿宋" w:cs="仿宋"/>
          <w:b/>
          <w:bCs/>
          <w:color w:val="auto"/>
          <w:sz w:val="28"/>
          <w:szCs w:val="28"/>
          <w:highlight w:val="none"/>
          <w:lang w:val="zh-CN"/>
        </w:rPr>
        <w:fldChar w:fldCharType="end"/>
      </w:r>
    </w:p>
    <w:p w14:paraId="5B55129A">
      <w:pPr>
        <w:pStyle w:val="19"/>
        <w:keepNext w:val="0"/>
        <w:keepLines w:val="0"/>
        <w:pageBreakBefore w:val="0"/>
        <w:widowControl w:val="0"/>
        <w:tabs>
          <w:tab w:val="right" w:leader="dot" w:pos="9282"/>
        </w:tabs>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rPr>
      </w:pPr>
      <w:r>
        <w:rPr>
          <w:rFonts w:hint="eastAsia" w:ascii="仿宋" w:hAnsi="仿宋" w:eastAsia="仿宋" w:cs="仿宋"/>
          <w:b/>
          <w:bCs/>
          <w:color w:val="auto"/>
          <w:sz w:val="28"/>
          <w:szCs w:val="28"/>
          <w:highlight w:val="none"/>
          <w:lang w:val="zh-CN"/>
        </w:rPr>
        <w:fldChar w:fldCharType="begin"/>
      </w:r>
      <w:r>
        <w:rPr>
          <w:rFonts w:hint="eastAsia" w:ascii="仿宋" w:hAnsi="仿宋" w:eastAsia="仿宋" w:cs="仿宋"/>
          <w:b/>
          <w:bCs/>
          <w:color w:val="auto"/>
          <w:sz w:val="28"/>
          <w:szCs w:val="28"/>
          <w:highlight w:val="none"/>
          <w:lang w:val="zh-CN"/>
        </w:rPr>
        <w:instrText xml:space="preserve"> HYPERLINK \l _Toc17936 </w:instrText>
      </w:r>
      <w:r>
        <w:rPr>
          <w:rFonts w:hint="eastAsia" w:ascii="仿宋" w:hAnsi="仿宋" w:eastAsia="仿宋" w:cs="仿宋"/>
          <w:b/>
          <w:bCs/>
          <w:color w:val="auto"/>
          <w:sz w:val="28"/>
          <w:szCs w:val="28"/>
          <w:highlight w:val="none"/>
          <w:lang w:val="zh-CN"/>
        </w:rPr>
        <w:fldChar w:fldCharType="separate"/>
      </w:r>
      <w:r>
        <w:rPr>
          <w:rFonts w:hint="eastAsia" w:ascii="仿宋" w:hAnsi="仿宋" w:eastAsia="仿宋" w:cs="仿宋"/>
          <w:b/>
          <w:bCs/>
          <w:color w:val="auto"/>
          <w:kern w:val="44"/>
          <w:sz w:val="28"/>
          <w:szCs w:val="28"/>
          <w:lang w:val="en-US" w:eastAsia="zh-CN" w:bidi="ar-SA"/>
        </w:rPr>
        <w:t>第四章 合同主要条款及格式</w:t>
      </w:r>
      <w:r>
        <w:rPr>
          <w:rFonts w:hint="eastAsia" w:ascii="仿宋" w:hAnsi="仿宋" w:eastAsia="仿宋" w:cs="仿宋"/>
          <w:b/>
          <w:bCs/>
          <w:color w:val="auto"/>
          <w:sz w:val="28"/>
          <w:szCs w:val="28"/>
        </w:rPr>
        <w:tab/>
      </w:r>
      <w:r>
        <w:rPr>
          <w:rFonts w:hint="eastAsia" w:ascii="仿宋" w:hAnsi="仿宋" w:eastAsia="仿宋" w:cs="仿宋"/>
          <w:b/>
          <w:bCs/>
          <w:color w:val="auto"/>
          <w:sz w:val="28"/>
          <w:szCs w:val="28"/>
        </w:rPr>
        <w:fldChar w:fldCharType="begin"/>
      </w:r>
      <w:r>
        <w:rPr>
          <w:rFonts w:hint="eastAsia" w:ascii="仿宋" w:hAnsi="仿宋" w:eastAsia="仿宋" w:cs="仿宋"/>
          <w:b/>
          <w:bCs/>
          <w:color w:val="auto"/>
          <w:sz w:val="28"/>
          <w:szCs w:val="28"/>
        </w:rPr>
        <w:instrText xml:space="preserve"> PAGEREF _Toc17936 \h </w:instrText>
      </w:r>
      <w:r>
        <w:rPr>
          <w:rFonts w:hint="eastAsia" w:ascii="仿宋" w:hAnsi="仿宋" w:eastAsia="仿宋" w:cs="仿宋"/>
          <w:b/>
          <w:bCs/>
          <w:color w:val="auto"/>
          <w:sz w:val="28"/>
          <w:szCs w:val="28"/>
        </w:rPr>
        <w:fldChar w:fldCharType="separate"/>
      </w:r>
      <w:r>
        <w:rPr>
          <w:rFonts w:hint="eastAsia" w:ascii="仿宋" w:hAnsi="仿宋" w:eastAsia="仿宋" w:cs="仿宋"/>
          <w:b/>
          <w:bCs/>
          <w:color w:val="auto"/>
          <w:sz w:val="28"/>
          <w:szCs w:val="28"/>
        </w:rPr>
        <w:t>21</w:t>
      </w:r>
      <w:r>
        <w:rPr>
          <w:rFonts w:hint="eastAsia" w:ascii="仿宋" w:hAnsi="仿宋" w:eastAsia="仿宋" w:cs="仿宋"/>
          <w:b/>
          <w:bCs/>
          <w:color w:val="auto"/>
          <w:sz w:val="28"/>
          <w:szCs w:val="28"/>
        </w:rPr>
        <w:fldChar w:fldCharType="end"/>
      </w:r>
      <w:r>
        <w:rPr>
          <w:rFonts w:hint="eastAsia" w:ascii="仿宋" w:hAnsi="仿宋" w:eastAsia="仿宋" w:cs="仿宋"/>
          <w:b/>
          <w:bCs/>
          <w:color w:val="auto"/>
          <w:sz w:val="28"/>
          <w:szCs w:val="28"/>
          <w:highlight w:val="none"/>
          <w:lang w:val="zh-CN"/>
        </w:rPr>
        <w:fldChar w:fldCharType="end"/>
      </w:r>
    </w:p>
    <w:p w14:paraId="23186787">
      <w:pPr>
        <w:pStyle w:val="19"/>
        <w:keepNext w:val="0"/>
        <w:keepLines w:val="0"/>
        <w:pageBreakBefore w:val="0"/>
        <w:widowControl w:val="0"/>
        <w:tabs>
          <w:tab w:val="right" w:leader="dot" w:pos="9282"/>
        </w:tabs>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rPr>
      </w:pPr>
      <w:r>
        <w:rPr>
          <w:rFonts w:hint="eastAsia" w:ascii="仿宋" w:hAnsi="仿宋" w:eastAsia="仿宋" w:cs="仿宋"/>
          <w:b/>
          <w:bCs/>
          <w:color w:val="auto"/>
          <w:sz w:val="28"/>
          <w:szCs w:val="28"/>
          <w:highlight w:val="none"/>
          <w:lang w:val="zh-CN"/>
        </w:rPr>
        <w:fldChar w:fldCharType="begin"/>
      </w:r>
      <w:r>
        <w:rPr>
          <w:rFonts w:hint="eastAsia" w:ascii="仿宋" w:hAnsi="仿宋" w:eastAsia="仿宋" w:cs="仿宋"/>
          <w:b/>
          <w:bCs/>
          <w:color w:val="auto"/>
          <w:sz w:val="28"/>
          <w:szCs w:val="28"/>
          <w:highlight w:val="none"/>
          <w:lang w:val="zh-CN"/>
        </w:rPr>
        <w:instrText xml:space="preserve"> HYPERLINK \l _Toc11789 </w:instrText>
      </w:r>
      <w:r>
        <w:rPr>
          <w:rFonts w:hint="eastAsia" w:ascii="仿宋" w:hAnsi="仿宋" w:eastAsia="仿宋" w:cs="仿宋"/>
          <w:b/>
          <w:bCs/>
          <w:color w:val="auto"/>
          <w:sz w:val="28"/>
          <w:szCs w:val="28"/>
          <w:highlight w:val="none"/>
          <w:lang w:val="zh-CN"/>
        </w:rPr>
        <w:fldChar w:fldCharType="separate"/>
      </w:r>
      <w:r>
        <w:rPr>
          <w:rFonts w:hint="eastAsia" w:ascii="仿宋" w:hAnsi="仿宋" w:eastAsia="仿宋" w:cs="仿宋"/>
          <w:b/>
          <w:bCs/>
          <w:color w:val="auto"/>
          <w:kern w:val="44"/>
          <w:sz w:val="28"/>
          <w:szCs w:val="28"/>
          <w:lang w:val="en-US" w:eastAsia="zh-CN" w:bidi="ar-SA"/>
        </w:rPr>
        <w:t>第五章  招标内容及要求</w:t>
      </w:r>
      <w:r>
        <w:rPr>
          <w:rFonts w:hint="eastAsia" w:ascii="仿宋" w:hAnsi="仿宋" w:eastAsia="仿宋" w:cs="仿宋"/>
          <w:b/>
          <w:bCs/>
          <w:color w:val="auto"/>
          <w:sz w:val="28"/>
          <w:szCs w:val="28"/>
        </w:rPr>
        <w:tab/>
      </w:r>
      <w:r>
        <w:rPr>
          <w:rFonts w:hint="eastAsia" w:ascii="仿宋" w:hAnsi="仿宋" w:eastAsia="仿宋" w:cs="仿宋"/>
          <w:b/>
          <w:bCs/>
          <w:color w:val="auto"/>
          <w:sz w:val="28"/>
          <w:szCs w:val="28"/>
        </w:rPr>
        <w:fldChar w:fldCharType="begin"/>
      </w:r>
      <w:r>
        <w:rPr>
          <w:rFonts w:hint="eastAsia" w:ascii="仿宋" w:hAnsi="仿宋" w:eastAsia="仿宋" w:cs="仿宋"/>
          <w:b/>
          <w:bCs/>
          <w:color w:val="auto"/>
          <w:sz w:val="28"/>
          <w:szCs w:val="28"/>
        </w:rPr>
        <w:instrText xml:space="preserve"> PAGEREF _Toc11789 \h </w:instrText>
      </w:r>
      <w:r>
        <w:rPr>
          <w:rFonts w:hint="eastAsia" w:ascii="仿宋" w:hAnsi="仿宋" w:eastAsia="仿宋" w:cs="仿宋"/>
          <w:b/>
          <w:bCs/>
          <w:color w:val="auto"/>
          <w:sz w:val="28"/>
          <w:szCs w:val="28"/>
        </w:rPr>
        <w:fldChar w:fldCharType="separate"/>
      </w:r>
      <w:r>
        <w:rPr>
          <w:rFonts w:hint="eastAsia" w:ascii="仿宋" w:hAnsi="仿宋" w:eastAsia="仿宋" w:cs="仿宋"/>
          <w:b/>
          <w:bCs/>
          <w:color w:val="auto"/>
          <w:sz w:val="28"/>
          <w:szCs w:val="28"/>
        </w:rPr>
        <w:t>22</w:t>
      </w:r>
      <w:r>
        <w:rPr>
          <w:rFonts w:hint="eastAsia" w:ascii="仿宋" w:hAnsi="仿宋" w:eastAsia="仿宋" w:cs="仿宋"/>
          <w:b/>
          <w:bCs/>
          <w:color w:val="auto"/>
          <w:sz w:val="28"/>
          <w:szCs w:val="28"/>
        </w:rPr>
        <w:fldChar w:fldCharType="end"/>
      </w:r>
      <w:r>
        <w:rPr>
          <w:rFonts w:hint="eastAsia" w:ascii="仿宋" w:hAnsi="仿宋" w:eastAsia="仿宋" w:cs="仿宋"/>
          <w:b/>
          <w:bCs/>
          <w:color w:val="auto"/>
          <w:sz w:val="28"/>
          <w:szCs w:val="28"/>
          <w:highlight w:val="none"/>
          <w:lang w:val="zh-CN"/>
        </w:rPr>
        <w:fldChar w:fldCharType="end"/>
      </w:r>
    </w:p>
    <w:p w14:paraId="0E7EDDAC">
      <w:pPr>
        <w:pStyle w:val="19"/>
        <w:keepNext w:val="0"/>
        <w:keepLines w:val="0"/>
        <w:pageBreakBefore w:val="0"/>
        <w:widowControl w:val="0"/>
        <w:tabs>
          <w:tab w:val="right" w:leader="dot" w:pos="9282"/>
        </w:tabs>
        <w:kinsoku/>
        <w:wordWrap/>
        <w:overflowPunct/>
        <w:topLinePunct w:val="0"/>
        <w:autoSpaceDE/>
        <w:autoSpaceDN/>
        <w:bidi w:val="0"/>
        <w:adjustRightInd/>
        <w:snapToGrid/>
        <w:spacing w:line="360" w:lineRule="auto"/>
        <w:textAlignment w:val="auto"/>
        <w:rPr>
          <w:b/>
          <w:bCs/>
          <w:color w:val="auto"/>
        </w:rPr>
      </w:pPr>
      <w:r>
        <w:rPr>
          <w:rFonts w:hint="eastAsia" w:ascii="仿宋" w:hAnsi="仿宋" w:eastAsia="仿宋" w:cs="仿宋"/>
          <w:b/>
          <w:bCs/>
          <w:color w:val="auto"/>
          <w:sz w:val="28"/>
          <w:szCs w:val="28"/>
          <w:highlight w:val="none"/>
          <w:lang w:val="zh-CN"/>
        </w:rPr>
        <w:fldChar w:fldCharType="begin"/>
      </w:r>
      <w:r>
        <w:rPr>
          <w:rFonts w:hint="eastAsia" w:ascii="仿宋" w:hAnsi="仿宋" w:eastAsia="仿宋" w:cs="仿宋"/>
          <w:b/>
          <w:bCs/>
          <w:color w:val="auto"/>
          <w:sz w:val="28"/>
          <w:szCs w:val="28"/>
          <w:highlight w:val="none"/>
          <w:lang w:val="zh-CN"/>
        </w:rPr>
        <w:instrText xml:space="preserve"> HYPERLINK \l _Toc9702 </w:instrText>
      </w:r>
      <w:r>
        <w:rPr>
          <w:rFonts w:hint="eastAsia" w:ascii="仿宋" w:hAnsi="仿宋" w:eastAsia="仿宋" w:cs="仿宋"/>
          <w:b/>
          <w:bCs/>
          <w:color w:val="auto"/>
          <w:sz w:val="28"/>
          <w:szCs w:val="28"/>
          <w:highlight w:val="none"/>
          <w:lang w:val="zh-CN"/>
        </w:rPr>
        <w:fldChar w:fldCharType="separate"/>
      </w:r>
      <w:r>
        <w:rPr>
          <w:rFonts w:hint="eastAsia" w:ascii="仿宋" w:hAnsi="仿宋" w:eastAsia="仿宋" w:cs="仿宋"/>
          <w:b/>
          <w:bCs/>
          <w:color w:val="auto"/>
          <w:kern w:val="44"/>
          <w:sz w:val="28"/>
          <w:szCs w:val="28"/>
          <w:lang w:val="en-US" w:eastAsia="zh-CN" w:bidi="ar-SA"/>
        </w:rPr>
        <w:t>第六章  投标文件格式</w:t>
      </w:r>
      <w:r>
        <w:rPr>
          <w:rFonts w:hint="eastAsia" w:ascii="仿宋" w:hAnsi="仿宋" w:eastAsia="仿宋" w:cs="仿宋"/>
          <w:b/>
          <w:bCs/>
          <w:color w:val="auto"/>
          <w:sz w:val="28"/>
          <w:szCs w:val="28"/>
        </w:rPr>
        <w:tab/>
      </w:r>
      <w:r>
        <w:rPr>
          <w:rFonts w:hint="eastAsia" w:ascii="仿宋" w:hAnsi="仿宋" w:eastAsia="仿宋" w:cs="仿宋"/>
          <w:b/>
          <w:bCs/>
          <w:color w:val="auto"/>
          <w:sz w:val="28"/>
          <w:szCs w:val="28"/>
        </w:rPr>
        <w:fldChar w:fldCharType="begin"/>
      </w:r>
      <w:r>
        <w:rPr>
          <w:rFonts w:hint="eastAsia" w:ascii="仿宋" w:hAnsi="仿宋" w:eastAsia="仿宋" w:cs="仿宋"/>
          <w:b/>
          <w:bCs/>
          <w:color w:val="auto"/>
          <w:sz w:val="28"/>
          <w:szCs w:val="28"/>
        </w:rPr>
        <w:instrText xml:space="preserve"> PAGEREF _Toc9702 \h </w:instrText>
      </w:r>
      <w:r>
        <w:rPr>
          <w:rFonts w:hint="eastAsia" w:ascii="仿宋" w:hAnsi="仿宋" w:eastAsia="仿宋" w:cs="仿宋"/>
          <w:b/>
          <w:bCs/>
          <w:color w:val="auto"/>
          <w:sz w:val="28"/>
          <w:szCs w:val="28"/>
        </w:rPr>
        <w:fldChar w:fldCharType="separate"/>
      </w:r>
      <w:r>
        <w:rPr>
          <w:rFonts w:hint="eastAsia" w:ascii="仿宋" w:hAnsi="仿宋" w:eastAsia="仿宋" w:cs="仿宋"/>
          <w:b/>
          <w:bCs/>
          <w:color w:val="auto"/>
          <w:sz w:val="28"/>
          <w:szCs w:val="28"/>
        </w:rPr>
        <w:t>23</w:t>
      </w:r>
      <w:r>
        <w:rPr>
          <w:rFonts w:hint="eastAsia" w:ascii="仿宋" w:hAnsi="仿宋" w:eastAsia="仿宋" w:cs="仿宋"/>
          <w:b/>
          <w:bCs/>
          <w:color w:val="auto"/>
          <w:sz w:val="28"/>
          <w:szCs w:val="28"/>
        </w:rPr>
        <w:fldChar w:fldCharType="end"/>
      </w:r>
      <w:r>
        <w:rPr>
          <w:rFonts w:hint="eastAsia" w:ascii="仿宋" w:hAnsi="仿宋" w:eastAsia="仿宋" w:cs="仿宋"/>
          <w:b/>
          <w:bCs/>
          <w:color w:val="auto"/>
          <w:sz w:val="28"/>
          <w:szCs w:val="28"/>
          <w:highlight w:val="none"/>
          <w:lang w:val="zh-CN"/>
        </w:rPr>
        <w:fldChar w:fldCharType="end"/>
      </w:r>
    </w:p>
    <w:p w14:paraId="25A32330">
      <w:pPr>
        <w:spacing w:line="600" w:lineRule="exact"/>
        <w:rPr>
          <w:rFonts w:hint="eastAsia" w:ascii="仿宋" w:hAnsi="仿宋" w:eastAsia="仿宋" w:cs="仿宋"/>
          <w:color w:val="auto"/>
          <w:sz w:val="24"/>
          <w:highlight w:val="none"/>
          <w:lang w:val="zh-CN"/>
        </w:rPr>
      </w:pPr>
      <w:r>
        <w:rPr>
          <w:rFonts w:hint="eastAsia" w:ascii="仿宋" w:hAnsi="仿宋" w:eastAsia="仿宋" w:cs="仿宋"/>
          <w:color w:val="auto"/>
          <w:highlight w:val="none"/>
          <w:lang w:val="zh-CN"/>
        </w:rPr>
        <w:fldChar w:fldCharType="end"/>
      </w:r>
    </w:p>
    <w:p w14:paraId="6E60C28C">
      <w:pPr>
        <w:rPr>
          <w:rFonts w:hint="eastAsia" w:ascii="仿宋" w:hAnsi="仿宋" w:eastAsia="仿宋" w:cs="仿宋"/>
          <w:b/>
          <w:bCs/>
          <w:color w:val="auto"/>
          <w:highlight w:val="none"/>
          <w:lang w:val="zh-CN"/>
        </w:rPr>
      </w:pPr>
    </w:p>
    <w:p w14:paraId="6A177EBA">
      <w:pPr>
        <w:rPr>
          <w:rFonts w:hint="eastAsia" w:ascii="仿宋" w:hAnsi="仿宋" w:eastAsia="仿宋" w:cs="仿宋"/>
          <w:b/>
          <w:bCs/>
          <w:color w:val="auto"/>
          <w:highlight w:val="none"/>
          <w:lang w:val="zh-CN"/>
        </w:rPr>
      </w:pPr>
    </w:p>
    <w:p w14:paraId="0AAA993E">
      <w:pPr>
        <w:rPr>
          <w:rFonts w:hint="eastAsia" w:ascii="仿宋" w:hAnsi="仿宋" w:eastAsia="仿宋" w:cs="仿宋"/>
          <w:b/>
          <w:bCs/>
          <w:color w:val="auto"/>
          <w:highlight w:val="none"/>
          <w:lang w:val="zh-CN"/>
        </w:rPr>
      </w:pPr>
    </w:p>
    <w:p w14:paraId="77D76C94">
      <w:pPr>
        <w:pStyle w:val="19"/>
        <w:tabs>
          <w:tab w:val="right" w:leader="dot" w:pos="8296"/>
        </w:tabs>
        <w:spacing w:before="120" w:after="120"/>
        <w:jc w:val="left"/>
        <w:rPr>
          <w:rFonts w:hint="eastAsia" w:ascii="仿宋" w:hAnsi="仿宋" w:eastAsia="仿宋" w:cs="仿宋"/>
          <w:b/>
          <w:bCs/>
          <w:color w:val="auto"/>
          <w:highlight w:val="none"/>
          <w:lang w:val="zh-CN"/>
        </w:rPr>
      </w:pPr>
    </w:p>
    <w:p w14:paraId="756DEDAE">
      <w:pPr>
        <w:rPr>
          <w:rFonts w:hint="eastAsia" w:ascii="仿宋" w:hAnsi="仿宋" w:eastAsia="仿宋" w:cs="仿宋"/>
          <w:b/>
          <w:bCs/>
          <w:color w:val="auto"/>
          <w:highlight w:val="none"/>
          <w:lang w:val="zh-CN"/>
        </w:rPr>
      </w:pPr>
    </w:p>
    <w:p w14:paraId="3934F8D7">
      <w:pPr>
        <w:rPr>
          <w:rFonts w:hint="eastAsia" w:ascii="仿宋" w:hAnsi="仿宋" w:eastAsia="仿宋" w:cs="仿宋"/>
          <w:b/>
          <w:bCs/>
          <w:color w:val="auto"/>
          <w:highlight w:val="none"/>
          <w:lang w:val="zh-CN"/>
        </w:rPr>
      </w:pPr>
    </w:p>
    <w:p w14:paraId="30CAC63E">
      <w:pPr>
        <w:rPr>
          <w:rFonts w:hint="eastAsia" w:ascii="仿宋" w:hAnsi="仿宋" w:eastAsia="仿宋" w:cs="仿宋"/>
          <w:b/>
          <w:bCs/>
          <w:color w:val="auto"/>
          <w:highlight w:val="none"/>
          <w:lang w:val="zh-CN"/>
        </w:rPr>
      </w:pPr>
    </w:p>
    <w:p w14:paraId="0E137DB1">
      <w:pPr>
        <w:rPr>
          <w:rFonts w:hint="eastAsia" w:ascii="仿宋" w:hAnsi="仿宋" w:eastAsia="仿宋" w:cs="仿宋"/>
          <w:b/>
          <w:bCs/>
          <w:color w:val="auto"/>
          <w:highlight w:val="none"/>
          <w:lang w:val="zh-CN"/>
        </w:rPr>
      </w:pPr>
    </w:p>
    <w:p w14:paraId="6E2BD7B6">
      <w:pPr>
        <w:rPr>
          <w:rFonts w:hint="eastAsia" w:ascii="仿宋" w:hAnsi="仿宋" w:eastAsia="仿宋" w:cs="仿宋"/>
          <w:b/>
          <w:bCs/>
          <w:color w:val="auto"/>
          <w:highlight w:val="none"/>
          <w:lang w:val="zh-CN"/>
        </w:rPr>
      </w:pPr>
    </w:p>
    <w:p w14:paraId="37EE5E32">
      <w:pPr>
        <w:rPr>
          <w:rFonts w:hint="eastAsia" w:ascii="仿宋" w:hAnsi="仿宋" w:eastAsia="仿宋" w:cs="仿宋"/>
          <w:b/>
          <w:bCs/>
          <w:color w:val="auto"/>
          <w:highlight w:val="none"/>
          <w:lang w:val="zh-CN"/>
        </w:rPr>
      </w:pPr>
    </w:p>
    <w:p w14:paraId="09730484">
      <w:pPr>
        <w:rPr>
          <w:rFonts w:hint="eastAsia" w:ascii="仿宋" w:hAnsi="仿宋" w:eastAsia="仿宋" w:cs="仿宋"/>
          <w:b/>
          <w:bCs/>
          <w:color w:val="auto"/>
          <w:highlight w:val="none"/>
          <w:lang w:val="zh-CN"/>
        </w:rPr>
      </w:pPr>
    </w:p>
    <w:p w14:paraId="6387FEF4">
      <w:pPr>
        <w:rPr>
          <w:rFonts w:hint="eastAsia" w:ascii="仿宋" w:hAnsi="仿宋" w:eastAsia="仿宋" w:cs="仿宋"/>
          <w:b/>
          <w:bCs/>
          <w:color w:val="auto"/>
          <w:highlight w:val="none"/>
          <w:lang w:val="zh-CN"/>
        </w:rPr>
      </w:pPr>
    </w:p>
    <w:p w14:paraId="64C5F029">
      <w:pPr>
        <w:rPr>
          <w:rFonts w:hint="eastAsia" w:ascii="仿宋" w:hAnsi="仿宋" w:eastAsia="仿宋" w:cs="仿宋"/>
          <w:b/>
          <w:bCs/>
          <w:color w:val="auto"/>
          <w:highlight w:val="none"/>
          <w:lang w:val="zh-CN"/>
        </w:rPr>
      </w:pPr>
    </w:p>
    <w:p w14:paraId="497D29E2">
      <w:pPr>
        <w:pStyle w:val="57"/>
        <w:rPr>
          <w:rFonts w:hint="eastAsia" w:ascii="仿宋" w:hAnsi="仿宋" w:eastAsia="仿宋" w:cs="仿宋"/>
          <w:b w:val="0"/>
          <w:bCs w:val="0"/>
          <w:color w:val="auto"/>
          <w:highlight w:val="none"/>
          <w:lang w:val="zh-CN"/>
        </w:rPr>
      </w:pPr>
    </w:p>
    <w:p w14:paraId="465E530F">
      <w:pPr>
        <w:pStyle w:val="57"/>
        <w:rPr>
          <w:rFonts w:hint="eastAsia" w:ascii="仿宋" w:hAnsi="仿宋" w:eastAsia="仿宋" w:cs="仿宋"/>
          <w:b w:val="0"/>
          <w:bCs w:val="0"/>
          <w:color w:val="auto"/>
          <w:highlight w:val="none"/>
          <w:lang w:val="zh-CN"/>
        </w:rPr>
      </w:pPr>
    </w:p>
    <w:p w14:paraId="2C5CDBFC">
      <w:pPr>
        <w:rPr>
          <w:rFonts w:hint="eastAsia" w:ascii="仿宋" w:hAnsi="仿宋" w:eastAsia="仿宋" w:cs="仿宋"/>
          <w:b/>
          <w:bCs/>
          <w:color w:val="auto"/>
          <w:highlight w:val="none"/>
          <w:lang w:val="zh-CN"/>
        </w:rPr>
      </w:pPr>
    </w:p>
    <w:p w14:paraId="6E4C06E5">
      <w:pPr>
        <w:rPr>
          <w:rFonts w:hint="eastAsia" w:ascii="仿宋" w:hAnsi="仿宋" w:eastAsia="仿宋" w:cs="仿宋"/>
          <w:b/>
          <w:bCs/>
          <w:color w:val="auto"/>
          <w:highlight w:val="none"/>
          <w:lang w:val="zh-CN"/>
        </w:rPr>
      </w:pPr>
    </w:p>
    <w:p w14:paraId="5F039952">
      <w:pPr>
        <w:rPr>
          <w:rFonts w:hint="eastAsia" w:ascii="仿宋" w:hAnsi="仿宋" w:eastAsia="仿宋" w:cs="仿宋"/>
          <w:b/>
          <w:bCs/>
          <w:color w:val="auto"/>
          <w:highlight w:val="none"/>
          <w:lang w:val="zh-CN"/>
        </w:rPr>
      </w:pPr>
    </w:p>
    <w:p w14:paraId="4E87346A">
      <w:pPr>
        <w:rPr>
          <w:rFonts w:hint="eastAsia" w:ascii="仿宋" w:hAnsi="仿宋" w:eastAsia="仿宋" w:cs="仿宋"/>
          <w:b/>
          <w:bCs/>
          <w:color w:val="auto"/>
          <w:highlight w:val="none"/>
          <w:lang w:val="zh-CN"/>
        </w:rPr>
      </w:pPr>
    </w:p>
    <w:p w14:paraId="0B0B155C">
      <w:pPr>
        <w:rPr>
          <w:rFonts w:hint="eastAsia" w:ascii="仿宋" w:hAnsi="仿宋" w:eastAsia="仿宋" w:cs="仿宋"/>
          <w:b/>
          <w:bCs/>
          <w:color w:val="auto"/>
          <w:highlight w:val="none"/>
          <w:lang w:val="zh-CN"/>
        </w:rPr>
      </w:pPr>
    </w:p>
    <w:p w14:paraId="31E3C0FA">
      <w:pPr>
        <w:rPr>
          <w:rFonts w:hint="eastAsia" w:ascii="仿宋" w:hAnsi="仿宋" w:eastAsia="仿宋" w:cs="仿宋"/>
          <w:b/>
          <w:bCs/>
          <w:color w:val="auto"/>
          <w:highlight w:val="none"/>
          <w:lang w:val="zh-CN"/>
        </w:rPr>
      </w:pPr>
    </w:p>
    <w:p w14:paraId="4C616057">
      <w:pPr>
        <w:rPr>
          <w:rFonts w:hint="eastAsia" w:ascii="仿宋" w:hAnsi="仿宋" w:eastAsia="仿宋" w:cs="仿宋"/>
          <w:b/>
          <w:bCs/>
          <w:color w:val="auto"/>
          <w:highlight w:val="none"/>
          <w:lang w:val="zh-CN"/>
        </w:rPr>
      </w:pPr>
    </w:p>
    <w:p w14:paraId="21802667">
      <w:pPr>
        <w:rPr>
          <w:rFonts w:hint="eastAsia" w:ascii="仿宋" w:hAnsi="仿宋" w:eastAsia="仿宋" w:cs="仿宋"/>
          <w:b/>
          <w:bCs/>
          <w:color w:val="auto"/>
          <w:highlight w:val="none"/>
          <w:lang w:val="zh-CN"/>
        </w:rPr>
      </w:pPr>
    </w:p>
    <w:p w14:paraId="6668444B">
      <w:pPr>
        <w:pStyle w:val="2"/>
        <w:keepNext/>
        <w:keepLines/>
        <w:pageBreakBefore w:val="0"/>
        <w:widowControl w:val="0"/>
        <w:numPr>
          <w:ilvl w:val="0"/>
          <w:numId w:val="0"/>
        </w:numPr>
        <w:kinsoku/>
        <w:wordWrap/>
        <w:overflowPunct/>
        <w:topLinePunct w:val="0"/>
        <w:autoSpaceDE/>
        <w:autoSpaceDN/>
        <w:bidi w:val="0"/>
        <w:adjustRightInd/>
        <w:snapToGrid/>
        <w:spacing w:before="0" w:after="0" w:line="400" w:lineRule="exact"/>
        <w:jc w:val="center"/>
        <w:textAlignment w:val="auto"/>
        <w:rPr>
          <w:rFonts w:hint="eastAsia" w:ascii="Times New Roman" w:hAnsi="Times New Roman" w:eastAsia="宋体" w:cs="Times New Roman"/>
          <w:b/>
          <w:bCs/>
          <w:color w:val="auto"/>
          <w:sz w:val="32"/>
          <w:szCs w:val="32"/>
          <w:lang w:val="en-US" w:eastAsia="zh-CN"/>
        </w:rPr>
      </w:pPr>
      <w:bookmarkStart w:id="2" w:name="_Toc23337"/>
      <w:r>
        <w:rPr>
          <w:rFonts w:hint="eastAsia" w:ascii="Times New Roman" w:hAnsi="Times New Roman" w:eastAsia="宋体" w:cs="Times New Roman"/>
          <w:b/>
          <w:bCs/>
          <w:color w:val="auto"/>
          <w:sz w:val="32"/>
          <w:szCs w:val="32"/>
          <w:lang w:val="en-US" w:eastAsia="zh-CN"/>
        </w:rPr>
        <w:t>第一章 招标公告</w:t>
      </w:r>
      <w:bookmarkEnd w:id="2"/>
    </w:p>
    <w:p w14:paraId="3206C09D">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b/>
          <w:bCs/>
          <w:color w:val="auto"/>
          <w:sz w:val="21"/>
          <w:szCs w:val="21"/>
          <w:highlight w:val="none"/>
          <w:u w:val="none"/>
        </w:rPr>
      </w:pPr>
      <w:r>
        <w:rPr>
          <w:rFonts w:hint="eastAsia" w:ascii="仿宋" w:hAnsi="仿宋" w:eastAsia="仿宋" w:cs="仿宋"/>
          <w:b/>
          <w:bCs/>
          <w:i w:val="0"/>
          <w:iCs w:val="0"/>
          <w:caps w:val="0"/>
          <w:color w:val="auto"/>
          <w:spacing w:val="0"/>
          <w:sz w:val="21"/>
          <w:szCs w:val="21"/>
          <w:highlight w:val="none"/>
          <w:u w:val="none"/>
          <w:shd w:val="clear" w:color="auto" w:fill="FFFFFF"/>
          <w:lang w:val="en-US" w:eastAsia="zh-CN"/>
        </w:rPr>
        <w:t>特别提醒：</w:t>
      </w:r>
      <w:r>
        <w:rPr>
          <w:rFonts w:hint="eastAsia" w:ascii="仿宋" w:hAnsi="仿宋" w:eastAsia="仿宋" w:cs="仿宋"/>
          <w:b/>
          <w:bCs/>
          <w:i w:val="0"/>
          <w:iCs w:val="0"/>
          <w:caps w:val="0"/>
          <w:color w:val="auto"/>
          <w:spacing w:val="0"/>
          <w:sz w:val="21"/>
          <w:szCs w:val="21"/>
          <w:highlight w:val="none"/>
          <w:u w:val="none"/>
          <w:shd w:val="clear" w:color="auto" w:fill="FFFFFF"/>
        </w:rPr>
        <w:t>不同投标人出现相同的投标文件制作机器码（使用同一台电脑制作或上传</w:t>
      </w:r>
      <w:r>
        <w:rPr>
          <w:rFonts w:hint="eastAsia" w:ascii="仿宋" w:hAnsi="仿宋" w:eastAsia="仿宋" w:cs="仿宋"/>
          <w:b/>
          <w:bCs/>
          <w:i w:val="0"/>
          <w:iCs w:val="0"/>
          <w:caps w:val="0"/>
          <w:color w:val="auto"/>
          <w:spacing w:val="0"/>
          <w:sz w:val="21"/>
          <w:szCs w:val="21"/>
          <w:highlight w:val="none"/>
          <w:u w:val="none"/>
          <w:shd w:val="clear" w:color="auto" w:fill="FFFFFF"/>
          <w:lang w:eastAsia="zh-CN"/>
        </w:rPr>
        <w:t>，或者</w:t>
      </w:r>
      <w:r>
        <w:rPr>
          <w:rFonts w:hint="eastAsia" w:ascii="仿宋" w:hAnsi="仿宋" w:eastAsia="仿宋" w:cs="仿宋"/>
          <w:b/>
          <w:bCs/>
          <w:i w:val="0"/>
          <w:iCs w:val="0"/>
          <w:caps w:val="0"/>
          <w:color w:val="auto"/>
          <w:spacing w:val="0"/>
          <w:sz w:val="21"/>
          <w:szCs w:val="21"/>
          <w:highlight w:val="none"/>
          <w:u w:val="none"/>
          <w:shd w:val="clear" w:color="auto" w:fill="FFFFFF"/>
        </w:rPr>
        <w:t>不同机器由同一人操作）进行投标等异常情形的，按无效标处理，视为投标人相互串通投标。将对违规单位纳入黑名单管理并不予退还赔偿金。</w:t>
      </w:r>
    </w:p>
    <w:p w14:paraId="406F7456">
      <w:pPr>
        <w:keepNext w:val="0"/>
        <w:keepLines w:val="0"/>
        <w:pageBreakBefore w:val="0"/>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b/>
          <w:bCs/>
          <w:color w:val="auto"/>
          <w:sz w:val="21"/>
          <w:szCs w:val="21"/>
          <w:highlight w:val="none"/>
          <w:u w:val="none"/>
        </w:rPr>
        <w:t>一、项目名称：</w:t>
      </w:r>
      <w:permStart w:id="6" w:edGrp="everyone"/>
      <w:r>
        <w:rPr>
          <w:rFonts w:hint="eastAsia" w:ascii="仿宋" w:hAnsi="仿宋" w:eastAsia="仿宋" w:cs="仿宋"/>
          <w:color w:val="auto"/>
          <w:sz w:val="21"/>
          <w:szCs w:val="21"/>
          <w:highlight w:val="none"/>
          <w:u w:val="none"/>
        </w:rPr>
        <w:t xml:space="preserve"> </w:t>
      </w:r>
      <w:r>
        <w:rPr>
          <w:rFonts w:hint="eastAsia" w:ascii="仿宋" w:hAnsi="仿宋" w:eastAsia="仿宋" w:cs="仿宋"/>
          <w:color w:val="auto"/>
          <w:kern w:val="0"/>
          <w:szCs w:val="21"/>
          <w:highlight w:val="none"/>
          <w:u w:val="single"/>
          <w:lang w:val="en-US" w:eastAsia="zh-CN"/>
        </w:rPr>
        <w:t>耒阳市蔡伦纸品产业配套建设项目EPC+O总承包</w:t>
      </w:r>
      <w:r>
        <w:rPr>
          <w:rFonts w:hint="eastAsia" w:ascii="仿宋" w:hAnsi="仿宋" w:eastAsia="仿宋" w:cs="仿宋"/>
          <w:color w:val="auto"/>
          <w:sz w:val="21"/>
          <w:szCs w:val="21"/>
          <w:highlight w:val="none"/>
          <w:u w:val="none"/>
        </w:rPr>
        <w:t xml:space="preserve"> </w:t>
      </w:r>
      <w:permEnd w:id="6"/>
    </w:p>
    <w:p w14:paraId="3A8DF213">
      <w:pPr>
        <w:keepNext w:val="0"/>
        <w:keepLines w:val="0"/>
        <w:pageBreakBefore w:val="0"/>
        <w:kinsoku/>
        <w:wordWrap/>
        <w:overflowPunct/>
        <w:topLinePunct w:val="0"/>
        <w:autoSpaceDE/>
        <w:autoSpaceDN/>
        <w:bidi w:val="0"/>
        <w:adjustRightInd/>
        <w:snapToGrid/>
        <w:spacing w:line="360" w:lineRule="exact"/>
        <w:ind w:firstLine="843" w:firstLineChars="400"/>
        <w:textAlignment w:val="auto"/>
        <w:rPr>
          <w:rFonts w:hint="eastAsia" w:ascii="仿宋" w:hAnsi="仿宋" w:eastAsia="仿宋" w:cs="仿宋"/>
          <w:b/>
          <w:bCs/>
          <w:color w:val="auto"/>
          <w:sz w:val="21"/>
          <w:szCs w:val="21"/>
          <w:highlight w:val="none"/>
          <w:u w:val="none"/>
        </w:rPr>
      </w:pPr>
      <w:r>
        <w:rPr>
          <w:rFonts w:hint="eastAsia" w:ascii="仿宋" w:hAnsi="仿宋" w:eastAsia="仿宋" w:cs="仿宋"/>
          <w:b/>
          <w:bCs/>
          <w:color w:val="auto"/>
          <w:sz w:val="21"/>
          <w:szCs w:val="21"/>
          <w:highlight w:val="none"/>
          <w:u w:val="none"/>
        </w:rPr>
        <w:t>项目地点：</w:t>
      </w:r>
      <w:permStart w:id="7" w:edGrp="everyone"/>
      <w:r>
        <w:rPr>
          <w:rFonts w:hint="eastAsia" w:ascii="仿宋" w:hAnsi="仿宋" w:eastAsia="仿宋" w:cs="仿宋"/>
          <w:b/>
          <w:bCs/>
          <w:color w:val="auto"/>
          <w:sz w:val="21"/>
          <w:szCs w:val="21"/>
          <w:highlight w:val="none"/>
          <w:u w:val="none"/>
        </w:rPr>
        <w:t xml:space="preserve"> </w:t>
      </w:r>
      <w:r>
        <w:rPr>
          <w:rFonts w:hint="eastAsia" w:ascii="仿宋" w:hAnsi="仿宋" w:eastAsia="仿宋" w:cs="仿宋"/>
          <w:szCs w:val="21"/>
          <w:u w:val="single"/>
        </w:rPr>
        <w:t>耒阳市三架办事处白洋渡村</w:t>
      </w:r>
      <w:permEnd w:id="7"/>
    </w:p>
    <w:p w14:paraId="1690A6AF">
      <w:pPr>
        <w:keepNext w:val="0"/>
        <w:keepLines w:val="0"/>
        <w:pageBreakBefore w:val="0"/>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b/>
          <w:bCs/>
          <w:color w:val="auto"/>
          <w:sz w:val="21"/>
          <w:szCs w:val="21"/>
          <w:highlight w:val="none"/>
          <w:u w:val="none"/>
        </w:rPr>
        <w:t>二、招标编号：</w:t>
      </w:r>
      <w:permStart w:id="8" w:edGrp="everyone"/>
      <w:r>
        <w:rPr>
          <w:rFonts w:hint="eastAsia" w:ascii="仿宋" w:hAnsi="仿宋" w:eastAsia="仿宋" w:cs="仿宋"/>
          <w:color w:val="auto"/>
          <w:sz w:val="21"/>
          <w:szCs w:val="21"/>
          <w:highlight w:val="none"/>
          <w:u w:val="none"/>
        </w:rPr>
        <w:t xml:space="preserve"> ACEG-202510256001001 </w:t>
      </w:r>
      <w:permEnd w:id="8"/>
    </w:p>
    <w:p w14:paraId="5374B94E">
      <w:pPr>
        <w:keepNext w:val="0"/>
        <w:keepLines w:val="0"/>
        <w:pageBreakBefore w:val="0"/>
        <w:numPr>
          <w:ilvl w:val="0"/>
          <w:numId w:val="0"/>
        </w:numPr>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u w:val="none"/>
        </w:rPr>
        <w:t>三、招标人：</w:t>
      </w:r>
      <w:permStart w:id="9" w:edGrp="everyone"/>
      <w:r>
        <w:rPr>
          <w:rFonts w:hint="eastAsia" w:ascii="仿宋" w:hAnsi="仿宋" w:eastAsia="仿宋" w:cs="仿宋"/>
          <w:color w:val="auto"/>
          <w:sz w:val="21"/>
          <w:szCs w:val="21"/>
          <w:highlight w:val="none"/>
          <w:u w:val="none"/>
        </w:rPr>
        <w:t xml:space="preserve"> </w:t>
      </w:r>
      <w:r>
        <w:rPr>
          <w:rFonts w:hint="eastAsia" w:ascii="仿宋" w:hAnsi="仿宋" w:eastAsia="仿宋" w:cs="仿宋"/>
          <w:sz w:val="21"/>
          <w:szCs w:val="21"/>
          <w:highlight w:val="none"/>
          <w:u w:val="single"/>
          <w:lang w:val="en-US" w:eastAsia="zh-CN"/>
        </w:rPr>
        <w:t>湖南安建建设开发有限公司</w:t>
      </w:r>
    </w:p>
    <w:permEnd w:id="9"/>
    <w:p w14:paraId="528BA383">
      <w:pPr>
        <w:keepNext w:val="0"/>
        <w:keepLines w:val="0"/>
        <w:pageBreakBefore w:val="0"/>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b/>
          <w:bCs/>
          <w:color w:val="auto"/>
          <w:sz w:val="21"/>
          <w:szCs w:val="21"/>
          <w:highlight w:val="none"/>
          <w:u w:val="none"/>
        </w:rPr>
        <w:t>四、招标内容：</w:t>
      </w:r>
      <w:bookmarkStart w:id="3" w:name="OLE_LINK1"/>
      <w:permStart w:id="10" w:edGrp="everyone"/>
      <w:r>
        <w:rPr>
          <w:rFonts w:hint="eastAsia" w:ascii="仿宋" w:hAnsi="仿宋" w:eastAsia="仿宋" w:cs="仿宋"/>
          <w:b w:val="0"/>
          <w:bCs/>
          <w:color w:val="auto"/>
          <w:sz w:val="21"/>
          <w:szCs w:val="21"/>
          <w:highlight w:val="none"/>
          <w:u w:val="none"/>
        </w:rPr>
        <w:t xml:space="preserve"> 电动单梁起重机</w:t>
      </w:r>
      <w:r>
        <w:rPr>
          <w:rFonts w:hint="eastAsia" w:ascii="仿宋" w:hAnsi="仿宋" w:eastAsia="仿宋" w:cs="仿宋"/>
          <w:b/>
          <w:color w:val="auto"/>
          <w:sz w:val="21"/>
          <w:szCs w:val="21"/>
          <w:highlight w:val="none"/>
          <w:u w:val="none"/>
        </w:rPr>
        <w:t xml:space="preserve"> </w:t>
      </w:r>
      <w:permEnd w:id="10"/>
      <w:r>
        <w:rPr>
          <w:rFonts w:hint="eastAsia" w:ascii="仿宋" w:hAnsi="仿宋" w:eastAsia="仿宋" w:cs="仿宋"/>
          <w:color w:val="auto"/>
          <w:sz w:val="21"/>
          <w:szCs w:val="21"/>
          <w:highlight w:val="none"/>
          <w:u w:val="none"/>
        </w:rPr>
        <w:t>采购，数量</w:t>
      </w:r>
      <w:r>
        <w:rPr>
          <w:rFonts w:hint="eastAsia" w:ascii="仿宋" w:hAnsi="仿宋" w:eastAsia="仿宋" w:cs="仿宋"/>
          <w:color w:val="auto"/>
          <w:sz w:val="21"/>
          <w:szCs w:val="21"/>
          <w:highlight w:val="none"/>
          <w:u w:val="none"/>
          <w:lang w:val="en-US" w:eastAsia="zh-CN"/>
        </w:rPr>
        <w:t>约</w:t>
      </w:r>
      <w:r>
        <w:rPr>
          <w:rFonts w:hint="eastAsia" w:ascii="仿宋" w:hAnsi="仿宋" w:eastAsia="仿宋" w:cs="仿宋"/>
          <w:color w:val="auto"/>
          <w:sz w:val="21"/>
          <w:szCs w:val="21"/>
          <w:highlight w:val="none"/>
          <w:u w:val="none"/>
        </w:rPr>
        <w:t>为</w:t>
      </w:r>
      <w:permStart w:id="11" w:edGrp="everyone"/>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24台，具体技术及尺寸规格参考报价清单</w:t>
      </w:r>
      <w:r>
        <w:rPr>
          <w:rFonts w:hint="eastAsia" w:ascii="仿宋" w:hAnsi="仿宋" w:eastAsia="仿宋" w:cs="仿宋"/>
          <w:color w:val="auto"/>
          <w:sz w:val="21"/>
          <w:szCs w:val="21"/>
          <w:highlight w:val="none"/>
          <w:u w:val="none"/>
        </w:rPr>
        <w:t xml:space="preserve"> </w:t>
      </w:r>
      <w:permEnd w:id="11"/>
      <w:r>
        <w:rPr>
          <w:rFonts w:hint="eastAsia" w:ascii="仿宋" w:hAnsi="仿宋" w:eastAsia="仿宋" w:cs="仿宋"/>
          <w:color w:val="auto"/>
          <w:sz w:val="21"/>
          <w:szCs w:val="21"/>
          <w:highlight w:val="none"/>
          <w:u w:val="none"/>
        </w:rPr>
        <w:t>，</w:t>
      </w:r>
      <w:r>
        <w:rPr>
          <w:rFonts w:hint="eastAsia" w:ascii="仿宋" w:hAnsi="仿宋" w:eastAsia="仿宋" w:cs="仿宋"/>
          <w:color w:val="auto"/>
          <w:kern w:val="0"/>
          <w:sz w:val="21"/>
          <w:szCs w:val="21"/>
          <w:highlight w:val="none"/>
          <w:u w:val="none"/>
        </w:rPr>
        <w:t>供货地点为</w:t>
      </w:r>
      <w:permStart w:id="12" w:edGrp="everyone"/>
      <w:r>
        <w:rPr>
          <w:rFonts w:hint="eastAsia" w:ascii="仿宋" w:hAnsi="仿宋" w:eastAsia="仿宋" w:cs="仿宋"/>
          <w:color w:val="auto"/>
          <w:kern w:val="0"/>
          <w:sz w:val="21"/>
          <w:szCs w:val="21"/>
          <w:highlight w:val="none"/>
          <w:u w:val="none"/>
        </w:rPr>
        <w:t xml:space="preserve"> </w:t>
      </w:r>
      <w:r>
        <w:rPr>
          <w:rFonts w:hint="eastAsia" w:ascii="仿宋" w:hAnsi="仿宋" w:eastAsia="仿宋" w:cs="仿宋"/>
          <w:color w:val="auto"/>
          <w:sz w:val="21"/>
          <w:szCs w:val="21"/>
          <w:highlight w:val="none"/>
          <w:u w:val="single"/>
          <w:lang w:val="en-US" w:eastAsia="zh-CN"/>
        </w:rPr>
        <w:t>湖南省耒耒阳市蔡伦纸品产业配套项目（EPC+0)施工现场</w:t>
      </w:r>
      <w:r>
        <w:rPr>
          <w:rFonts w:hint="eastAsia" w:ascii="宋体" w:hAnsi="宋体"/>
          <w:color w:val="auto"/>
          <w:kern w:val="0"/>
          <w:sz w:val="24"/>
          <w:szCs w:val="24"/>
          <w:u w:val="single"/>
        </w:rPr>
        <w:t>。</w:t>
      </w:r>
      <w:permEnd w:id="12"/>
      <w:r>
        <w:rPr>
          <w:rFonts w:hint="eastAsia" w:ascii="仿宋" w:hAnsi="仿宋" w:eastAsia="仿宋" w:cs="仿宋"/>
          <w:color w:val="auto"/>
          <w:kern w:val="0"/>
          <w:sz w:val="21"/>
          <w:szCs w:val="21"/>
          <w:highlight w:val="none"/>
          <w:u w:val="none"/>
        </w:rPr>
        <w:t>。</w:t>
      </w:r>
      <w:permStart w:id="13" w:edGrp="everyone"/>
      <w:permEnd w:id="13"/>
    </w:p>
    <w:bookmarkEnd w:id="3"/>
    <w:p w14:paraId="349951CD">
      <w:pPr>
        <w:keepNext w:val="0"/>
        <w:keepLines w:val="0"/>
        <w:pageBreakBefore w:val="0"/>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b/>
          <w:bCs/>
          <w:color w:val="auto"/>
          <w:sz w:val="21"/>
          <w:szCs w:val="21"/>
          <w:highlight w:val="none"/>
          <w:u w:val="none"/>
        </w:rPr>
        <w:t>五、投标人资格要求：</w:t>
      </w:r>
      <w:r>
        <w:rPr>
          <w:rFonts w:hint="eastAsia" w:ascii="仿宋" w:hAnsi="仿宋" w:eastAsia="仿宋" w:cs="仿宋"/>
          <w:color w:val="auto"/>
          <w:sz w:val="21"/>
          <w:szCs w:val="21"/>
          <w:highlight w:val="none"/>
          <w:u w:val="none"/>
        </w:rPr>
        <w:t>投标人应同时具备下列条件，在评标阶段的资格审查中必须全部满足，且不受报名通过与否影响：</w:t>
      </w:r>
    </w:p>
    <w:p w14:paraId="4B7918AE">
      <w:pPr>
        <w:keepNext w:val="0"/>
        <w:keepLines w:val="0"/>
        <w:pageBreakBefore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rPr>
        <w:t>1.法人资格要求：</w:t>
      </w:r>
      <w:permStart w:id="14" w:edGrp="everyone"/>
      <w:r>
        <w:rPr>
          <w:rFonts w:hint="eastAsia" w:ascii="仿宋" w:hAnsi="仿宋" w:eastAsia="仿宋" w:cs="仿宋"/>
          <w:b w:val="0"/>
          <w:bCs w:val="0"/>
          <w:i w:val="0"/>
          <w:iCs w:val="0"/>
          <w:caps w:val="0"/>
          <w:color w:val="auto"/>
          <w:spacing w:val="0"/>
          <w:sz w:val="21"/>
          <w:szCs w:val="21"/>
          <w:highlight w:val="none"/>
          <w:u w:val="none"/>
          <w:shd w:val="clear" w:color="auto" w:fill="FFFFFF"/>
          <w:lang w:val="en-US" w:eastAsia="zh-CN"/>
        </w:rPr>
        <w:t xml:space="preserve">  </w:t>
      </w:r>
      <w:r>
        <w:rPr>
          <w:rFonts w:hint="eastAsia" w:ascii="仿宋" w:hAnsi="仿宋" w:eastAsia="仿宋" w:cs="仿宋"/>
          <w:color w:val="auto"/>
          <w:szCs w:val="21"/>
          <w:highlight w:val="none"/>
          <w:u w:val="single"/>
        </w:rPr>
        <w:t>需提供独立法人资格及有效营业执照。</w:t>
      </w:r>
      <w:r>
        <w:rPr>
          <w:rFonts w:hint="eastAsia" w:ascii="仿宋" w:hAnsi="仿宋" w:eastAsia="仿宋" w:cs="仿宋"/>
          <w:b w:val="0"/>
          <w:bCs w:val="0"/>
          <w:i w:val="0"/>
          <w:iCs w:val="0"/>
          <w:caps w:val="0"/>
          <w:color w:val="auto"/>
          <w:spacing w:val="0"/>
          <w:sz w:val="21"/>
          <w:szCs w:val="21"/>
          <w:highlight w:val="none"/>
          <w:u w:val="none"/>
          <w:shd w:val="clear" w:color="auto" w:fill="FFFFFF"/>
        </w:rPr>
        <w:t xml:space="preserve"> </w:t>
      </w:r>
      <w:permEnd w:id="14"/>
      <w:r>
        <w:rPr>
          <w:rFonts w:hint="eastAsia" w:ascii="仿宋" w:hAnsi="仿宋" w:eastAsia="仿宋" w:cs="仿宋"/>
          <w:b w:val="0"/>
          <w:bCs w:val="0"/>
          <w:color w:val="auto"/>
          <w:sz w:val="21"/>
          <w:szCs w:val="21"/>
          <w:highlight w:val="none"/>
          <w:u w:val="none"/>
        </w:rPr>
        <w:t xml:space="preserve">。 </w:t>
      </w:r>
      <w:r>
        <w:rPr>
          <w:rFonts w:hint="eastAsia" w:ascii="仿宋" w:hAnsi="仿宋" w:eastAsia="仿宋" w:cs="仿宋"/>
          <w:color w:val="auto"/>
          <w:sz w:val="21"/>
          <w:szCs w:val="21"/>
          <w:highlight w:val="none"/>
          <w:u w:val="none"/>
        </w:rPr>
        <w:t xml:space="preserve"> </w:t>
      </w:r>
    </w:p>
    <w:p w14:paraId="06C274A3">
      <w:pPr>
        <w:keepNext w:val="0"/>
        <w:keepLines w:val="0"/>
        <w:pageBreakBefore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b w:val="0"/>
          <w:bCs w:val="0"/>
          <w:i w:val="0"/>
          <w:iCs w:val="0"/>
          <w:caps w:val="0"/>
          <w:color w:val="auto"/>
          <w:spacing w:val="0"/>
          <w:sz w:val="21"/>
          <w:szCs w:val="21"/>
          <w:highlight w:val="none"/>
          <w:u w:val="none"/>
          <w:shd w:val="clear" w:color="auto" w:fill="FFFFFF"/>
        </w:rPr>
      </w:pPr>
      <w:r>
        <w:rPr>
          <w:rFonts w:hint="eastAsia" w:ascii="仿宋" w:hAnsi="仿宋" w:eastAsia="仿宋" w:cs="仿宋"/>
          <w:color w:val="auto"/>
          <w:sz w:val="21"/>
          <w:szCs w:val="21"/>
          <w:highlight w:val="none"/>
          <w:u w:val="none"/>
        </w:rPr>
        <w:t>2</w:t>
      </w:r>
      <w:bookmarkStart w:id="4" w:name="_Hlk493792797"/>
      <w:r>
        <w:rPr>
          <w:rFonts w:hint="eastAsia" w:ascii="仿宋" w:hAnsi="仿宋" w:eastAsia="仿宋" w:cs="仿宋"/>
          <w:color w:val="auto"/>
          <w:sz w:val="21"/>
          <w:szCs w:val="21"/>
          <w:highlight w:val="none"/>
          <w:u w:val="none"/>
        </w:rPr>
        <w:t>.类似业绩要求：</w:t>
      </w:r>
      <w:permStart w:id="15" w:edGrp="everyone"/>
      <w:r>
        <w:rPr>
          <w:rFonts w:hint="eastAsia" w:ascii="仿宋" w:hAnsi="仿宋" w:eastAsia="仿宋" w:cs="仿宋"/>
          <w:color w:val="auto"/>
          <w:sz w:val="21"/>
          <w:szCs w:val="21"/>
          <w:highlight w:val="none"/>
          <w:u w:val="single"/>
          <w:lang w:val="en-US" w:eastAsia="zh-CN"/>
        </w:rPr>
        <w:t>提供一份从2022年1月1日起至今，金额不少于50万元的</w:t>
      </w:r>
      <w:r>
        <w:rPr>
          <w:rFonts w:hint="eastAsia" w:ascii="仿宋" w:hAnsi="仿宋" w:eastAsia="仿宋" w:cs="仿宋"/>
          <w:b w:val="0"/>
          <w:bCs/>
          <w:color w:val="auto"/>
          <w:sz w:val="21"/>
          <w:szCs w:val="21"/>
          <w:highlight w:val="none"/>
          <w:u w:val="single"/>
        </w:rPr>
        <w:t>电动单梁起重机</w:t>
      </w:r>
      <w:r>
        <w:rPr>
          <w:rFonts w:hint="eastAsia" w:ascii="仿宋" w:hAnsi="仿宋" w:eastAsia="仿宋" w:cs="仿宋"/>
          <w:color w:val="auto"/>
          <w:sz w:val="21"/>
          <w:szCs w:val="21"/>
          <w:highlight w:val="none"/>
          <w:u w:val="single"/>
          <w:lang w:val="en-US" w:eastAsia="zh-CN"/>
        </w:rPr>
        <w:t>供货合同（时间以合同签订时间为准，金额以合同金额或提供的发票额为准，提供合同复印件和至少一次对应的转账记录或合同发票）</w:t>
      </w:r>
      <w:permEnd w:id="15"/>
      <w:r>
        <w:rPr>
          <w:rFonts w:hint="eastAsia" w:ascii="仿宋" w:hAnsi="仿宋" w:eastAsia="仿宋" w:cs="仿宋"/>
          <w:b w:val="0"/>
          <w:bCs w:val="0"/>
          <w:i w:val="0"/>
          <w:iCs w:val="0"/>
          <w:caps w:val="0"/>
          <w:color w:val="auto"/>
          <w:spacing w:val="0"/>
          <w:sz w:val="21"/>
          <w:szCs w:val="21"/>
          <w:highlight w:val="none"/>
          <w:u w:val="none"/>
          <w:shd w:val="clear" w:color="auto" w:fill="FFFFFF"/>
        </w:rPr>
        <w:t>。</w:t>
      </w:r>
    </w:p>
    <w:bookmarkEnd w:id="4"/>
    <w:p w14:paraId="29021538">
      <w:pPr>
        <w:keepNext w:val="0"/>
        <w:keepLines w:val="0"/>
        <w:pageBreakBefore w:val="0"/>
        <w:widowControl/>
        <w:kinsoku/>
        <w:wordWrap/>
        <w:overflowPunct/>
        <w:topLinePunct w:val="0"/>
        <w:autoSpaceDE/>
        <w:autoSpaceDN/>
        <w:bidi w:val="0"/>
        <w:adjustRightInd/>
        <w:snapToGrid/>
        <w:spacing w:line="360" w:lineRule="exact"/>
        <w:ind w:firstLine="420" w:firstLineChars="200"/>
        <w:jc w:val="left"/>
        <w:textAlignment w:val="auto"/>
        <w:rPr>
          <w:rFonts w:hint="eastAsia" w:ascii="仿宋" w:hAnsi="仿宋" w:eastAsia="仿宋" w:cs="仿宋"/>
          <w:color w:val="auto"/>
          <w:sz w:val="21"/>
          <w:szCs w:val="21"/>
          <w:highlight w:val="none"/>
          <w:u w:val="none"/>
        </w:rPr>
      </w:pPr>
      <w:bookmarkStart w:id="5" w:name="_Hlk497289843"/>
      <w:r>
        <w:rPr>
          <w:rFonts w:hint="eastAsia" w:ascii="仿宋" w:hAnsi="仿宋" w:eastAsia="仿宋" w:cs="仿宋"/>
          <w:color w:val="auto"/>
          <w:sz w:val="21"/>
          <w:szCs w:val="21"/>
          <w:highlight w:val="none"/>
          <w:u w:val="none"/>
          <w:lang w:val="en-US" w:eastAsia="zh-CN"/>
        </w:rPr>
        <w:t>3</w:t>
      </w:r>
      <w:r>
        <w:rPr>
          <w:rFonts w:hint="eastAsia" w:ascii="仿宋" w:hAnsi="仿宋" w:eastAsia="仿宋" w:cs="仿宋"/>
          <w:color w:val="auto"/>
          <w:sz w:val="21"/>
          <w:szCs w:val="21"/>
          <w:highlight w:val="none"/>
          <w:u w:val="none"/>
        </w:rPr>
        <w:t>.</w:t>
      </w:r>
      <w:bookmarkEnd w:id="5"/>
      <w:r>
        <w:rPr>
          <w:rFonts w:hint="eastAsia" w:ascii="仿宋" w:hAnsi="仿宋" w:eastAsia="仿宋" w:cs="仿宋"/>
          <w:color w:val="auto"/>
          <w:sz w:val="21"/>
          <w:szCs w:val="21"/>
          <w:highlight w:val="none"/>
          <w:u w:val="none"/>
          <w:lang w:eastAsia="zh-CN"/>
        </w:rPr>
        <w:t>其他要求</w:t>
      </w:r>
      <w:r>
        <w:rPr>
          <w:rFonts w:hint="eastAsia" w:ascii="仿宋" w:hAnsi="仿宋" w:eastAsia="仿宋" w:cs="仿宋"/>
          <w:color w:val="auto"/>
          <w:sz w:val="21"/>
          <w:szCs w:val="21"/>
          <w:highlight w:val="none"/>
          <w:u w:val="none"/>
        </w:rPr>
        <w:t>：</w:t>
      </w:r>
      <w:permStart w:id="16" w:edGrp="everyone"/>
      <w:r>
        <w:rPr>
          <w:rFonts w:hint="eastAsia" w:ascii="仿宋" w:hAnsi="仿宋" w:eastAsia="仿宋" w:cs="仿宋"/>
          <w:color w:val="auto"/>
          <w:sz w:val="21"/>
          <w:szCs w:val="21"/>
          <w:highlight w:val="none"/>
          <w:u w:val="none"/>
          <w:lang w:val="en-US" w:eastAsia="zh-CN"/>
        </w:rPr>
        <w:t xml:space="preserve"> /</w:t>
      </w:r>
      <w:r>
        <w:rPr>
          <w:rFonts w:hint="eastAsia" w:ascii="仿宋" w:hAnsi="仿宋" w:eastAsia="仿宋" w:cs="仿宋"/>
          <w:b w:val="0"/>
          <w:bCs w:val="0"/>
          <w:i w:val="0"/>
          <w:iCs w:val="0"/>
          <w:caps w:val="0"/>
          <w:color w:val="auto"/>
          <w:spacing w:val="0"/>
          <w:sz w:val="21"/>
          <w:szCs w:val="21"/>
          <w:highlight w:val="none"/>
          <w:u w:val="none"/>
          <w:shd w:val="clear" w:color="auto" w:fill="FFFFFF"/>
          <w:lang w:val="en-US" w:eastAsia="zh-CN"/>
        </w:rPr>
        <w:t xml:space="preserve"> </w:t>
      </w:r>
      <w:permEnd w:id="16"/>
      <w:r>
        <w:rPr>
          <w:rFonts w:hint="eastAsia" w:ascii="仿宋" w:hAnsi="仿宋" w:eastAsia="仿宋" w:cs="仿宋"/>
          <w:color w:val="auto"/>
          <w:sz w:val="21"/>
          <w:szCs w:val="21"/>
          <w:highlight w:val="none"/>
          <w:u w:val="none"/>
        </w:rPr>
        <w:t xml:space="preserve"> </w:t>
      </w:r>
    </w:p>
    <w:p w14:paraId="034203A4">
      <w:pPr>
        <w:keepNext w:val="0"/>
        <w:keepLines w:val="0"/>
        <w:pageBreakBefore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val="en-US" w:eastAsia="zh-CN"/>
        </w:rPr>
      </w:pPr>
      <w:r>
        <w:rPr>
          <w:rFonts w:hint="eastAsia" w:ascii="仿宋" w:hAnsi="仿宋" w:eastAsia="仿宋" w:cs="仿宋"/>
          <w:color w:val="auto"/>
          <w:sz w:val="21"/>
          <w:szCs w:val="21"/>
          <w:highlight w:val="none"/>
          <w:u w:val="none"/>
          <w:lang w:val="en-US" w:eastAsia="zh-CN"/>
        </w:rPr>
        <w:t>4</w:t>
      </w:r>
      <w:r>
        <w:rPr>
          <w:rFonts w:hint="eastAsia" w:ascii="仿宋" w:hAnsi="仿宋" w:eastAsia="仿宋" w:cs="仿宋"/>
          <w:color w:val="auto"/>
          <w:sz w:val="21"/>
          <w:szCs w:val="21"/>
          <w:highlight w:val="none"/>
          <w:u w:val="none"/>
        </w:rPr>
        <w:t>.</w:t>
      </w:r>
      <w:r>
        <w:rPr>
          <w:rFonts w:hint="eastAsia" w:ascii="仿宋" w:hAnsi="仿宋" w:eastAsia="仿宋" w:cs="仿宋"/>
          <w:color w:val="auto"/>
          <w:sz w:val="21"/>
          <w:szCs w:val="21"/>
          <w:highlight w:val="none"/>
          <w:u w:val="none"/>
          <w:lang w:val="en-US" w:eastAsia="zh-CN"/>
        </w:rPr>
        <w:t>安徽建工集团电子化招采平台（</w:t>
      </w:r>
      <w:r>
        <w:rPr>
          <w:rFonts w:hint="eastAsia" w:ascii="仿宋" w:hAnsi="仿宋" w:eastAsia="仿宋" w:cs="仿宋"/>
          <w:color w:val="auto"/>
          <w:sz w:val="21"/>
          <w:szCs w:val="21"/>
          <w:highlight w:val="none"/>
          <w:u w:val="none"/>
        </w:rPr>
        <w:t>http</w:t>
      </w:r>
      <w:r>
        <w:rPr>
          <w:rFonts w:hint="eastAsia" w:ascii="仿宋" w:hAnsi="仿宋" w:eastAsia="仿宋" w:cs="仿宋"/>
          <w:color w:val="auto"/>
          <w:sz w:val="21"/>
          <w:szCs w:val="21"/>
          <w:highlight w:val="none"/>
          <w:u w:val="none"/>
          <w:lang w:val="en-US" w:eastAsia="zh-CN"/>
        </w:rPr>
        <w:t>s</w:t>
      </w:r>
      <w:r>
        <w:rPr>
          <w:rFonts w:hint="eastAsia" w:ascii="仿宋" w:hAnsi="仿宋" w:eastAsia="仿宋" w:cs="仿宋"/>
          <w:color w:val="auto"/>
          <w:sz w:val="21"/>
          <w:szCs w:val="21"/>
          <w:highlight w:val="none"/>
          <w:u w:val="none"/>
        </w:rPr>
        <w:t>://cg.aceg.com.cn/</w:t>
      </w:r>
      <w:r>
        <w:rPr>
          <w:rFonts w:hint="eastAsia" w:ascii="仿宋" w:hAnsi="仿宋" w:eastAsia="仿宋" w:cs="仿宋"/>
          <w:color w:val="auto"/>
          <w:sz w:val="21"/>
          <w:szCs w:val="21"/>
          <w:highlight w:val="none"/>
          <w:u w:val="none"/>
          <w:lang w:val="en-US" w:eastAsia="zh-CN"/>
        </w:rPr>
        <w:t>）（以下简称：招采平台）已申请注册并获得终审通过。</w:t>
      </w:r>
    </w:p>
    <w:p w14:paraId="763313D9">
      <w:pPr>
        <w:keepNext w:val="0"/>
        <w:keepLines w:val="0"/>
        <w:pageBreakBefore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eastAsia="zh-CN"/>
        </w:rPr>
      </w:pPr>
      <w:r>
        <w:rPr>
          <w:rFonts w:hint="eastAsia" w:ascii="仿宋" w:hAnsi="仿宋" w:eastAsia="仿宋" w:cs="仿宋"/>
          <w:color w:val="auto"/>
          <w:sz w:val="21"/>
          <w:szCs w:val="21"/>
          <w:highlight w:val="none"/>
          <w:u w:val="none"/>
          <w:lang w:val="en-US" w:eastAsia="zh-CN"/>
        </w:rPr>
        <w:t>5.投标人及其法定代表人未被安徽建工水利及安徽建工集团股份有限公司限制投标</w:t>
      </w:r>
      <w:r>
        <w:rPr>
          <w:rFonts w:hint="eastAsia" w:ascii="仿宋" w:hAnsi="仿宋" w:eastAsia="仿宋" w:cs="仿宋"/>
          <w:color w:val="auto"/>
          <w:sz w:val="21"/>
          <w:szCs w:val="21"/>
          <w:highlight w:val="none"/>
          <w:u w:val="none"/>
          <w:lang w:eastAsia="zh-CN"/>
        </w:rPr>
        <w:t>。</w:t>
      </w:r>
    </w:p>
    <w:p w14:paraId="7621845E">
      <w:pPr>
        <w:keepNext w:val="0"/>
        <w:keepLines w:val="0"/>
        <w:pageBreakBefore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val="en-US" w:eastAsia="zh-CN"/>
        </w:rPr>
      </w:pPr>
      <w:r>
        <w:rPr>
          <w:rFonts w:hint="eastAsia" w:ascii="仿宋" w:hAnsi="仿宋" w:eastAsia="仿宋" w:cs="仿宋"/>
          <w:color w:val="auto"/>
          <w:sz w:val="21"/>
          <w:szCs w:val="21"/>
          <w:highlight w:val="none"/>
          <w:u w:val="none"/>
          <w:lang w:val="en-US" w:eastAsia="zh-CN"/>
        </w:rPr>
        <w:t>6.本项目是否接受联合体投标：</w:t>
      </w:r>
      <w:bookmarkStart w:id="6" w:name="_Hlk500259956"/>
      <w:r>
        <w:rPr>
          <w:rFonts w:hint="eastAsia" w:ascii="仿宋" w:hAnsi="仿宋" w:eastAsia="仿宋" w:cs="仿宋"/>
          <w:color w:val="auto"/>
          <w:sz w:val="21"/>
          <w:szCs w:val="21"/>
          <w:highlight w:val="none"/>
          <w:u w:val="none"/>
          <w:lang w:val="en-US" w:eastAsia="zh-CN"/>
        </w:rPr>
        <w:t>不接受</w:t>
      </w:r>
      <w:permStart w:id="17" w:edGrp="everyone"/>
      <w:r>
        <w:rPr>
          <w:rFonts w:hint="eastAsia" w:ascii="仿宋" w:hAnsi="仿宋" w:eastAsia="仿宋" w:cs="仿宋"/>
          <w:color w:val="auto"/>
          <w:kern w:val="2"/>
          <w:sz w:val="21"/>
          <w:szCs w:val="21"/>
          <w:highlight w:val="none"/>
          <w:u w:val="none"/>
          <w:lang w:val="en-US" w:eastAsia="zh-CN" w:bidi="ar-SA"/>
        </w:rPr>
        <w:t>☑</w:t>
      </w:r>
      <w:permEnd w:id="17"/>
      <w:r>
        <w:rPr>
          <w:rFonts w:hint="eastAsia" w:ascii="仿宋" w:hAnsi="仿宋" w:eastAsia="仿宋" w:cs="仿宋"/>
          <w:color w:val="auto"/>
          <w:sz w:val="21"/>
          <w:szCs w:val="21"/>
          <w:highlight w:val="none"/>
          <w:u w:val="none"/>
          <w:lang w:val="en-US" w:eastAsia="zh-CN"/>
        </w:rPr>
        <w:t xml:space="preserve">  接受</w:t>
      </w:r>
      <w:bookmarkEnd w:id="6"/>
      <w:permStart w:id="18" w:edGrp="everyone"/>
      <w:r>
        <w:rPr>
          <w:rFonts w:hint="eastAsia" w:ascii="仿宋" w:hAnsi="仿宋" w:eastAsia="仿宋" w:cs="仿宋"/>
          <w:color w:val="auto"/>
          <w:kern w:val="2"/>
          <w:sz w:val="21"/>
          <w:szCs w:val="21"/>
          <w:highlight w:val="none"/>
          <w:u w:val="none"/>
          <w:lang w:val="en-US" w:eastAsia="zh-CN" w:bidi="ar-SA"/>
        </w:rPr>
        <w:t>□</w:t>
      </w:r>
      <w:permEnd w:id="18"/>
      <w:r>
        <w:rPr>
          <w:rFonts w:hint="eastAsia" w:ascii="仿宋" w:hAnsi="仿宋" w:eastAsia="仿宋" w:cs="仿宋"/>
          <w:color w:val="auto"/>
          <w:sz w:val="21"/>
          <w:szCs w:val="21"/>
          <w:highlight w:val="none"/>
          <w:u w:val="none"/>
          <w:lang w:val="en-US" w:eastAsia="zh-CN"/>
        </w:rPr>
        <w:t xml:space="preserve">。 </w:t>
      </w:r>
    </w:p>
    <w:p w14:paraId="636ED6CE">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right="0" w:firstLine="422" w:firstLineChars="200"/>
        <w:textAlignment w:val="auto"/>
        <w:rPr>
          <w:rFonts w:hint="eastAsia" w:ascii="仿宋" w:hAnsi="仿宋" w:eastAsia="仿宋" w:cs="仿宋"/>
          <w:b/>
          <w:bCs/>
          <w:color w:val="auto"/>
          <w:sz w:val="21"/>
          <w:szCs w:val="21"/>
          <w:highlight w:val="none"/>
          <w:u w:val="none"/>
        </w:rPr>
      </w:pPr>
      <w:r>
        <w:rPr>
          <w:rFonts w:hint="eastAsia" w:ascii="仿宋" w:hAnsi="仿宋" w:eastAsia="仿宋" w:cs="仿宋"/>
          <w:b/>
          <w:bCs/>
          <w:color w:val="auto"/>
          <w:sz w:val="21"/>
          <w:szCs w:val="21"/>
          <w:highlight w:val="none"/>
          <w:u w:val="none"/>
        </w:rPr>
        <w:t>六、招标方式：</w:t>
      </w:r>
      <w:r>
        <w:rPr>
          <w:rFonts w:hint="eastAsia" w:ascii="仿宋" w:hAnsi="仿宋" w:eastAsia="仿宋" w:cs="仿宋"/>
          <w:color w:val="auto"/>
          <w:kern w:val="2"/>
          <w:sz w:val="21"/>
          <w:szCs w:val="21"/>
          <w:highlight w:val="none"/>
          <w:u w:val="none"/>
          <w:lang w:val="en-US" w:eastAsia="zh-CN" w:bidi="ar-SA"/>
        </w:rPr>
        <w:t xml:space="preserve"> 公开招标</w:t>
      </w:r>
      <w:permStart w:id="19" w:edGrp="everyone"/>
      <w:r>
        <w:rPr>
          <w:rFonts w:hint="eastAsia" w:ascii="仿宋" w:hAnsi="仿宋" w:eastAsia="仿宋" w:cs="仿宋"/>
          <w:color w:val="auto"/>
          <w:kern w:val="2"/>
          <w:sz w:val="21"/>
          <w:szCs w:val="21"/>
          <w:highlight w:val="none"/>
          <w:u w:val="none"/>
          <w:lang w:val="en-US" w:eastAsia="zh-CN" w:bidi="ar-SA"/>
        </w:rPr>
        <w:t>☑</w:t>
      </w:r>
      <w:permEnd w:id="19"/>
      <w:r>
        <w:rPr>
          <w:rFonts w:hint="eastAsia" w:ascii="仿宋" w:hAnsi="仿宋" w:eastAsia="仿宋" w:cs="仿宋"/>
          <w:color w:val="auto"/>
          <w:kern w:val="2"/>
          <w:sz w:val="21"/>
          <w:szCs w:val="21"/>
          <w:highlight w:val="none"/>
          <w:u w:val="none"/>
          <w:lang w:val="en-US" w:eastAsia="zh-CN" w:bidi="ar-SA"/>
        </w:rPr>
        <w:t>  邀请招标</w:t>
      </w:r>
      <w:permStart w:id="20" w:edGrp="everyone"/>
      <w:r>
        <w:rPr>
          <w:rFonts w:hint="eastAsia" w:ascii="仿宋" w:hAnsi="仿宋" w:eastAsia="仿宋" w:cs="仿宋"/>
          <w:color w:val="auto"/>
          <w:kern w:val="2"/>
          <w:sz w:val="21"/>
          <w:szCs w:val="21"/>
          <w:highlight w:val="none"/>
          <w:u w:val="none"/>
          <w:lang w:val="en-US" w:eastAsia="zh-CN" w:bidi="ar-SA"/>
        </w:rPr>
        <w:t>□</w:t>
      </w:r>
      <w:permEnd w:id="20"/>
      <w:r>
        <w:rPr>
          <w:rFonts w:hint="eastAsia" w:ascii="仿宋" w:hAnsi="仿宋" w:eastAsia="仿宋" w:cs="仿宋"/>
          <w:color w:val="auto"/>
          <w:kern w:val="2"/>
          <w:sz w:val="21"/>
          <w:szCs w:val="21"/>
          <w:highlight w:val="none"/>
          <w:u w:val="none"/>
          <w:lang w:val="en-US" w:eastAsia="zh-CN" w:bidi="ar-SA"/>
        </w:rPr>
        <w:t> </w:t>
      </w:r>
    </w:p>
    <w:p w14:paraId="421BFA9D">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239" w:leftChars="114" w:right="0" w:firstLine="173" w:firstLineChars="82"/>
        <w:textAlignment w:val="auto"/>
        <w:rPr>
          <w:rFonts w:hint="eastAsia" w:ascii="仿宋" w:hAnsi="仿宋" w:eastAsia="仿宋" w:cs="仿宋"/>
          <w:color w:val="auto"/>
          <w:kern w:val="2"/>
          <w:sz w:val="21"/>
          <w:szCs w:val="21"/>
          <w:highlight w:val="none"/>
          <w:u w:val="none"/>
          <w:lang w:val="en-US" w:eastAsia="zh-CN" w:bidi="ar-SA"/>
        </w:rPr>
      </w:pPr>
      <w:r>
        <w:rPr>
          <w:rFonts w:hint="eastAsia" w:ascii="仿宋" w:hAnsi="仿宋" w:eastAsia="仿宋" w:cs="仿宋"/>
          <w:b/>
          <w:bCs/>
          <w:color w:val="auto"/>
          <w:sz w:val="21"/>
          <w:szCs w:val="21"/>
          <w:highlight w:val="none"/>
          <w:u w:val="none"/>
        </w:rPr>
        <w:t>七、投标报名及获取</w:t>
      </w:r>
      <w:r>
        <w:rPr>
          <w:rFonts w:hint="eastAsia" w:ascii="仿宋" w:hAnsi="仿宋" w:eastAsia="仿宋" w:cs="仿宋"/>
          <w:b/>
          <w:color w:val="auto"/>
          <w:sz w:val="21"/>
          <w:szCs w:val="21"/>
          <w:highlight w:val="none"/>
          <w:u w:val="none"/>
        </w:rPr>
        <w:t>招标文件方式：</w:t>
      </w:r>
      <w:r>
        <w:rPr>
          <w:rFonts w:hint="eastAsia" w:ascii="仿宋" w:hAnsi="仿宋" w:eastAsia="仿宋" w:cs="仿宋"/>
          <w:color w:val="auto"/>
          <w:kern w:val="2"/>
          <w:sz w:val="21"/>
          <w:szCs w:val="21"/>
          <w:highlight w:val="none"/>
          <w:u w:val="none"/>
          <w:lang w:val="en-US" w:eastAsia="zh-CN" w:bidi="ar-SA"/>
        </w:rPr>
        <w:t>凡有意参加投标并符合资格要求者，请于</w:t>
      </w:r>
      <w:permStart w:id="21" w:edGrp="everyone"/>
      <w:r>
        <w:rPr>
          <w:rFonts w:hint="eastAsia" w:ascii="仿宋" w:hAnsi="仿宋" w:eastAsia="仿宋" w:cs="仿宋"/>
          <w:b/>
          <w:bCs/>
          <w:i w:val="0"/>
          <w:iCs w:val="0"/>
          <w:caps w:val="0"/>
          <w:color w:val="auto"/>
          <w:spacing w:val="0"/>
          <w:kern w:val="2"/>
          <w:sz w:val="21"/>
          <w:szCs w:val="21"/>
          <w:highlight w:val="none"/>
          <w:u w:val="none"/>
          <w:shd w:val="clear" w:color="auto" w:fill="FFFFFF"/>
          <w:lang w:val="en-US" w:eastAsia="zh-CN" w:bidi="ar-SA"/>
        </w:rPr>
        <w:t>2025年10月15日至2025年10月23日18时</w:t>
      </w:r>
      <w:permEnd w:id="21"/>
      <w:r>
        <w:rPr>
          <w:rFonts w:hint="eastAsia" w:ascii="仿宋" w:hAnsi="仿宋" w:eastAsia="仿宋" w:cs="仿宋"/>
          <w:b/>
          <w:bCs/>
          <w:i w:val="0"/>
          <w:iCs w:val="0"/>
          <w:caps w:val="0"/>
          <w:color w:val="auto"/>
          <w:spacing w:val="0"/>
          <w:kern w:val="2"/>
          <w:sz w:val="21"/>
          <w:szCs w:val="21"/>
          <w:highlight w:val="none"/>
          <w:u w:val="none"/>
          <w:shd w:val="clear" w:color="auto" w:fill="FFFFFF"/>
          <w:lang w:val="en-US" w:eastAsia="zh-CN" w:bidi="ar-SA"/>
        </w:rPr>
        <w:t>前</w:t>
      </w:r>
      <w:r>
        <w:rPr>
          <w:rFonts w:hint="eastAsia" w:ascii="仿宋" w:hAnsi="仿宋" w:eastAsia="仿宋" w:cs="仿宋"/>
          <w:color w:val="auto"/>
          <w:kern w:val="2"/>
          <w:sz w:val="21"/>
          <w:szCs w:val="21"/>
          <w:highlight w:val="none"/>
          <w:u w:val="none"/>
          <w:lang w:val="en-US" w:eastAsia="zh-CN" w:bidi="ar-SA"/>
        </w:rPr>
        <w:t>自行在招采平台网上报名，招标文件费用</w:t>
      </w:r>
      <w:permStart w:id="22" w:edGrp="everyone"/>
      <w:r>
        <w:rPr>
          <w:rFonts w:hint="eastAsia" w:ascii="仿宋" w:hAnsi="仿宋" w:eastAsia="仿宋" w:cs="仿宋"/>
          <w:color w:val="auto"/>
          <w:kern w:val="2"/>
          <w:sz w:val="21"/>
          <w:szCs w:val="21"/>
          <w:highlight w:val="none"/>
          <w:u w:val="none"/>
          <w:lang w:val="en-US" w:eastAsia="zh-CN" w:bidi="ar-SA"/>
        </w:rPr>
        <w:t xml:space="preserve"> 500 </w:t>
      </w:r>
      <w:permEnd w:id="22"/>
      <w:r>
        <w:rPr>
          <w:rFonts w:hint="eastAsia" w:ascii="仿宋" w:hAnsi="仿宋" w:eastAsia="仿宋" w:cs="仿宋"/>
          <w:color w:val="auto"/>
          <w:kern w:val="2"/>
          <w:sz w:val="21"/>
          <w:szCs w:val="21"/>
          <w:highlight w:val="none"/>
          <w:u w:val="none"/>
          <w:lang w:val="en-US" w:eastAsia="zh-CN" w:bidi="ar-SA"/>
        </w:rPr>
        <w:t>元/份（不退）。具体流程如下：</w:t>
      </w:r>
    </w:p>
    <w:p w14:paraId="6F562DB5">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kern w:val="2"/>
          <w:sz w:val="21"/>
          <w:szCs w:val="21"/>
          <w:highlight w:val="none"/>
          <w:u w:val="none"/>
          <w:lang w:val="en-US" w:eastAsia="zh-CN" w:bidi="ar-SA"/>
        </w:rPr>
      </w:pPr>
      <w:r>
        <w:rPr>
          <w:rFonts w:hint="eastAsia" w:ascii="仿宋" w:hAnsi="仿宋" w:eastAsia="仿宋" w:cs="仿宋"/>
          <w:color w:val="auto"/>
          <w:kern w:val="2"/>
          <w:sz w:val="21"/>
          <w:szCs w:val="21"/>
          <w:highlight w:val="none"/>
          <w:u w:val="none"/>
          <w:lang w:val="en-US" w:eastAsia="zh-CN" w:bidi="ar-SA"/>
        </w:rPr>
        <w:t>1.登陆招采平台，投标人在供应商窗口输入企业名称和密码后登录系统。</w:t>
      </w:r>
      <w:permStart w:id="23" w:edGrp="everyone"/>
      <w:permEnd w:id="23"/>
    </w:p>
    <w:p w14:paraId="14233B90">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kern w:val="2"/>
          <w:sz w:val="21"/>
          <w:szCs w:val="21"/>
          <w:highlight w:val="none"/>
          <w:u w:val="none"/>
          <w:lang w:val="en-US" w:eastAsia="zh-CN" w:bidi="ar-SA"/>
        </w:rPr>
      </w:pPr>
      <w:r>
        <w:rPr>
          <w:rFonts w:hint="eastAsia" w:ascii="仿宋" w:hAnsi="仿宋" w:eastAsia="仿宋" w:cs="仿宋"/>
          <w:color w:val="auto"/>
          <w:kern w:val="2"/>
          <w:sz w:val="21"/>
          <w:szCs w:val="21"/>
          <w:highlight w:val="none"/>
          <w:u w:val="none"/>
          <w:lang w:val="en-US" w:eastAsia="zh-CN" w:bidi="ar-SA"/>
        </w:rPr>
        <w:t>2.进入“项目报名”模块的 “设备材料类”、“工程劳务类”、“专业分包类”、“咨询服务类”、“劳务班组类”中找到拟投标项目，点击“我要报名”；再点击“网上支付”按钮，扫描二维码支付（支付宝、微信、云闪付），支付完成后，点击“下载招标文件”按钮下载招标文件（如标书费为0无需支付，已报名的项目可在“项目投标”模块查看。</w:t>
      </w:r>
      <w:r>
        <w:rPr>
          <w:rFonts w:hint="eastAsia" w:ascii="仿宋" w:hAnsi="仿宋" w:eastAsia="仿宋" w:cs="仿宋"/>
          <w:b/>
          <w:bCs/>
          <w:color w:val="auto"/>
          <w:kern w:val="2"/>
          <w:sz w:val="21"/>
          <w:szCs w:val="21"/>
          <w:highlight w:val="none"/>
          <w:u w:val="none"/>
          <w:lang w:val="en-US" w:eastAsia="zh-CN" w:bidi="ar-SA"/>
        </w:rPr>
        <w:t>同时投多标段时，需分别报名，仅需交纳一份标书费</w:t>
      </w:r>
      <w:r>
        <w:rPr>
          <w:rFonts w:hint="eastAsia" w:ascii="仿宋" w:hAnsi="仿宋" w:eastAsia="仿宋" w:cs="仿宋"/>
          <w:color w:val="auto"/>
          <w:kern w:val="2"/>
          <w:sz w:val="21"/>
          <w:szCs w:val="21"/>
          <w:highlight w:val="none"/>
          <w:u w:val="none"/>
          <w:lang w:val="en-US" w:eastAsia="zh-CN" w:bidi="ar-SA"/>
        </w:rPr>
        <w:t>）。</w:t>
      </w:r>
    </w:p>
    <w:p w14:paraId="2646A30E">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420" w:firstLineChars="200"/>
        <w:textAlignment w:val="auto"/>
        <w:rPr>
          <w:rFonts w:hint="eastAsia" w:ascii="仿宋" w:hAnsi="仿宋" w:eastAsia="仿宋" w:cs="仿宋"/>
          <w:color w:val="auto"/>
          <w:kern w:val="2"/>
          <w:sz w:val="21"/>
          <w:szCs w:val="21"/>
          <w:highlight w:val="none"/>
          <w:u w:val="none"/>
          <w:lang w:val="en-US" w:eastAsia="zh-CN" w:bidi="ar-SA"/>
        </w:rPr>
      </w:pPr>
      <w:r>
        <w:rPr>
          <w:rFonts w:hint="eastAsia" w:ascii="仿宋" w:hAnsi="仿宋" w:eastAsia="仿宋" w:cs="仿宋"/>
          <w:color w:val="auto"/>
          <w:kern w:val="2"/>
          <w:sz w:val="21"/>
          <w:szCs w:val="21"/>
          <w:highlight w:val="none"/>
          <w:u w:val="none"/>
          <w:lang w:val="en-US" w:eastAsia="zh-CN" w:bidi="ar-SA"/>
        </w:rPr>
        <w:t>3.如有招标答疑、补遗、澄清或修改，招标人将于招标文件规定的时间在招采平台补遗澄清栏发布，请投标人务必下载最新的变更后招标文件制作投标文件，否则系统无法上传投标文件。</w:t>
      </w:r>
    </w:p>
    <w:p w14:paraId="5D101A27">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kern w:val="2"/>
          <w:sz w:val="21"/>
          <w:szCs w:val="21"/>
          <w:highlight w:val="none"/>
          <w:u w:val="none"/>
          <w:lang w:val="en-US" w:eastAsia="zh-CN" w:bidi="ar-SA"/>
        </w:rPr>
      </w:pPr>
      <w:r>
        <w:rPr>
          <w:rFonts w:hint="eastAsia" w:ascii="仿宋" w:hAnsi="仿宋" w:eastAsia="仿宋" w:cs="仿宋"/>
          <w:color w:val="auto"/>
          <w:kern w:val="2"/>
          <w:sz w:val="21"/>
          <w:szCs w:val="21"/>
          <w:highlight w:val="none"/>
          <w:u w:val="none"/>
          <w:lang w:val="en-US" w:eastAsia="zh-CN" w:bidi="ar-SA"/>
        </w:rPr>
        <w:t>4.未注册供应商及终审未通过的供应商必须在报名截止时间前完成招采平台的注册资料上传、通过审核、获取CA证书工作，否则无法进行报名。具体注册流程可以查阅采购平台--供应商须知--供应商系统操作流程介绍。</w:t>
      </w:r>
    </w:p>
    <w:p w14:paraId="13CC7860">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textAlignment w:val="auto"/>
        <w:rPr>
          <w:rFonts w:hint="eastAsia" w:ascii="仿宋" w:hAnsi="仿宋" w:eastAsia="仿宋" w:cs="仿宋"/>
          <w:color w:val="auto"/>
          <w:kern w:val="2"/>
          <w:sz w:val="21"/>
          <w:szCs w:val="21"/>
          <w:highlight w:val="none"/>
          <w:u w:val="none"/>
          <w:lang w:val="en-US" w:eastAsia="zh-CN" w:bidi="ar-SA"/>
        </w:rPr>
      </w:pPr>
      <w:r>
        <w:rPr>
          <w:rFonts w:hint="eastAsia" w:ascii="仿宋" w:hAnsi="仿宋" w:eastAsia="仿宋" w:cs="仿宋"/>
          <w:color w:val="auto"/>
          <w:kern w:val="2"/>
          <w:sz w:val="21"/>
          <w:szCs w:val="21"/>
          <w:highlight w:val="none"/>
          <w:u w:val="none"/>
          <w:lang w:val="en-US" w:eastAsia="zh-CN" w:bidi="ar-SA"/>
        </w:rPr>
        <w:t>  5.投标人应合理安排招标文件获取时间，特别是网络速度慢的地区防止在系统关闭前网络拥堵无法操作。如果因计算机及网络故障造成无法完成招标文件获取，责任自负。</w:t>
      </w:r>
    </w:p>
    <w:p w14:paraId="29CE83DA">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sz w:val="21"/>
          <w:szCs w:val="21"/>
          <w:highlight w:val="none"/>
          <w:u w:val="none"/>
        </w:rPr>
      </w:pPr>
      <w:r>
        <w:rPr>
          <w:rStyle w:val="31"/>
          <w:rFonts w:hint="eastAsia" w:ascii="仿宋" w:hAnsi="仿宋" w:eastAsia="仿宋" w:cs="仿宋"/>
          <w:b/>
          <w:bCs/>
          <w:color w:val="auto"/>
          <w:sz w:val="21"/>
          <w:szCs w:val="21"/>
          <w:highlight w:val="none"/>
          <w:u w:val="none"/>
          <w:shd w:val="clear" w:color="auto" w:fill="FFFFFF"/>
          <w:lang w:val="en-US" w:eastAsia="zh-CN"/>
        </w:rPr>
        <w:t>八</w:t>
      </w:r>
      <w:r>
        <w:rPr>
          <w:rStyle w:val="31"/>
          <w:rFonts w:hint="eastAsia" w:ascii="仿宋" w:hAnsi="仿宋" w:eastAsia="仿宋" w:cs="仿宋"/>
          <w:b/>
          <w:bCs/>
          <w:color w:val="auto"/>
          <w:sz w:val="21"/>
          <w:szCs w:val="21"/>
          <w:highlight w:val="none"/>
          <w:u w:val="none"/>
          <w:shd w:val="clear" w:color="auto" w:fill="FFFFFF"/>
          <w:lang w:eastAsia="zh-CN"/>
        </w:rPr>
        <w:t>、</w:t>
      </w:r>
      <w:r>
        <w:rPr>
          <w:rStyle w:val="31"/>
          <w:rFonts w:hint="eastAsia" w:ascii="仿宋" w:hAnsi="仿宋" w:eastAsia="仿宋" w:cs="仿宋"/>
          <w:b/>
          <w:bCs/>
          <w:color w:val="auto"/>
          <w:sz w:val="21"/>
          <w:szCs w:val="21"/>
          <w:highlight w:val="none"/>
          <w:u w:val="none"/>
          <w:shd w:val="clear" w:color="auto" w:fill="FFFFFF"/>
        </w:rPr>
        <w:t>投标保证金</w:t>
      </w:r>
      <w:r>
        <w:rPr>
          <w:rFonts w:hint="eastAsia" w:ascii="仿宋" w:hAnsi="仿宋" w:eastAsia="仿宋" w:cs="仿宋"/>
          <w:color w:val="auto"/>
          <w:sz w:val="21"/>
          <w:szCs w:val="21"/>
          <w:highlight w:val="none"/>
          <w:u w:val="none"/>
          <w:lang w:val="en-US" w:eastAsia="zh-CN"/>
        </w:rPr>
        <w:t xml:space="preserve"> </w:t>
      </w:r>
      <w:permStart w:id="24" w:edGrp="everyone"/>
      <w:r>
        <w:rPr>
          <w:rFonts w:hint="eastAsia" w:ascii="仿宋" w:hAnsi="仿宋" w:eastAsia="仿宋" w:cs="仿宋"/>
          <w:color w:val="auto"/>
          <w:sz w:val="21"/>
          <w:szCs w:val="21"/>
          <w:highlight w:val="none"/>
          <w:u w:val="none"/>
          <w:lang w:val="en-US" w:eastAsia="zh-CN"/>
        </w:rPr>
        <w:t xml:space="preserve"> </w:t>
      </w:r>
      <w:r>
        <w:rPr>
          <w:rFonts w:hint="eastAsia" w:ascii="仿宋" w:hAnsi="仿宋" w:eastAsia="仿宋" w:cs="仿宋"/>
          <w:color w:val="auto"/>
          <w:sz w:val="21"/>
          <w:szCs w:val="21"/>
          <w:highlight w:val="none"/>
          <w:u w:val="single"/>
        </w:rPr>
        <w:t>见投标须知前附表</w:t>
      </w:r>
      <w:r>
        <w:rPr>
          <w:rFonts w:hint="eastAsia" w:ascii="仿宋" w:hAnsi="仿宋" w:eastAsia="仿宋" w:cs="仿宋"/>
          <w:color w:val="auto"/>
          <w:sz w:val="21"/>
          <w:szCs w:val="21"/>
          <w:highlight w:val="none"/>
          <w:u w:val="none"/>
          <w:lang w:val="en-US" w:eastAsia="zh-CN"/>
        </w:rPr>
        <w:t xml:space="preserve"> </w:t>
      </w:r>
      <w:permEnd w:id="24"/>
      <w:r>
        <w:rPr>
          <w:rFonts w:hint="eastAsia" w:ascii="仿宋" w:hAnsi="仿宋" w:eastAsia="仿宋" w:cs="仿宋"/>
          <w:color w:val="auto"/>
          <w:sz w:val="21"/>
          <w:szCs w:val="21"/>
          <w:highlight w:val="none"/>
          <w:u w:val="none"/>
          <w:lang w:val="en-US" w:eastAsia="zh-CN"/>
        </w:rPr>
        <w:t>，</w:t>
      </w:r>
      <w:r>
        <w:rPr>
          <w:rFonts w:hint="eastAsia" w:ascii="仿宋" w:hAnsi="仿宋" w:eastAsia="仿宋" w:cs="仿宋"/>
          <w:color w:val="auto"/>
          <w:sz w:val="21"/>
          <w:szCs w:val="21"/>
          <w:highlight w:val="none"/>
          <w:u w:val="none"/>
          <w:shd w:val="clear" w:color="auto" w:fill="FFFFFF"/>
        </w:rPr>
        <w:t>投标人以转账方式从投标人基本账户转出，银行转账凭证必须附在投标文件中作为其投标文件的重要组成部分。投标人在“项目投标”模块，对应具体投标项目的项目流程，点击“保证金查询”按钮，可查看保证金账户信息和到账状态；投标截止时间，投标人的投标保证金未能查证到账的，其投标无效。</w:t>
      </w:r>
    </w:p>
    <w:p w14:paraId="3653F746">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sz w:val="21"/>
          <w:szCs w:val="21"/>
          <w:highlight w:val="none"/>
          <w:u w:val="none"/>
        </w:rPr>
      </w:pPr>
      <w:r>
        <w:rPr>
          <w:rStyle w:val="31"/>
          <w:rFonts w:hint="eastAsia" w:ascii="仿宋" w:hAnsi="仿宋" w:eastAsia="仿宋" w:cs="仿宋"/>
          <w:b/>
          <w:bCs/>
          <w:color w:val="auto"/>
          <w:sz w:val="21"/>
          <w:szCs w:val="21"/>
          <w:highlight w:val="none"/>
          <w:u w:val="none"/>
          <w:shd w:val="clear" w:color="auto" w:fill="FFFFFF"/>
          <w:lang w:val="en-US" w:eastAsia="zh-CN"/>
        </w:rPr>
        <w:t>九</w:t>
      </w:r>
      <w:r>
        <w:rPr>
          <w:rStyle w:val="31"/>
          <w:rFonts w:hint="eastAsia" w:ascii="仿宋" w:hAnsi="仿宋" w:eastAsia="仿宋" w:cs="仿宋"/>
          <w:b/>
          <w:bCs/>
          <w:color w:val="auto"/>
          <w:sz w:val="21"/>
          <w:szCs w:val="21"/>
          <w:highlight w:val="none"/>
          <w:u w:val="none"/>
          <w:shd w:val="clear" w:color="auto" w:fill="FFFFFF"/>
        </w:rPr>
        <w:t>、投标文件递交</w:t>
      </w:r>
    </w:p>
    <w:p w14:paraId="1A305D4C">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shd w:val="clear" w:color="auto" w:fill="FFFFFF"/>
        </w:rPr>
        <w:t>1</w:t>
      </w:r>
      <w:r>
        <w:rPr>
          <w:rFonts w:hint="eastAsia" w:ascii="仿宋" w:hAnsi="仿宋" w:eastAsia="仿宋" w:cs="仿宋"/>
          <w:color w:val="auto"/>
          <w:sz w:val="21"/>
          <w:szCs w:val="21"/>
          <w:highlight w:val="none"/>
          <w:u w:val="none"/>
          <w:shd w:val="clear" w:color="auto" w:fill="FFFFFF"/>
          <w:lang w:val="en-US" w:eastAsia="zh-CN"/>
        </w:rPr>
        <w:t>.</w:t>
      </w:r>
      <w:r>
        <w:rPr>
          <w:rFonts w:hint="eastAsia" w:ascii="仿宋" w:hAnsi="仿宋" w:eastAsia="仿宋" w:cs="仿宋"/>
          <w:color w:val="auto"/>
          <w:sz w:val="21"/>
          <w:szCs w:val="21"/>
          <w:highlight w:val="none"/>
          <w:u w:val="none"/>
          <w:shd w:val="clear" w:color="auto" w:fill="FFFFFF"/>
        </w:rPr>
        <w:t>投标截止时间（开标时间）：</w:t>
      </w:r>
      <w:permStart w:id="25" w:edGrp="everyone"/>
      <w:r>
        <w:rPr>
          <w:rFonts w:hint="eastAsia" w:ascii="仿宋" w:hAnsi="仿宋" w:eastAsia="仿宋" w:cs="仿宋"/>
          <w:color w:val="auto"/>
          <w:sz w:val="21"/>
          <w:szCs w:val="21"/>
          <w:highlight w:val="none"/>
          <w:u w:val="none"/>
          <w:shd w:val="clear" w:color="auto" w:fill="FFFFFF"/>
          <w:lang w:val="en-US" w:eastAsia="zh-CN"/>
        </w:rPr>
        <w:t>2025年10月27日15时</w:t>
      </w:r>
      <w:permEnd w:id="25"/>
      <w:r>
        <w:rPr>
          <w:rFonts w:hint="eastAsia" w:ascii="仿宋" w:hAnsi="仿宋" w:eastAsia="仿宋" w:cs="仿宋"/>
          <w:color w:val="auto"/>
          <w:sz w:val="21"/>
          <w:szCs w:val="21"/>
          <w:highlight w:val="none"/>
          <w:u w:val="none"/>
          <w:shd w:val="clear" w:color="auto" w:fill="FFFFFF"/>
        </w:rPr>
        <w:t>。投标人应在截止时间前通过</w:t>
      </w:r>
      <w:r>
        <w:rPr>
          <w:rFonts w:hint="eastAsia" w:ascii="仿宋" w:hAnsi="仿宋" w:eastAsia="仿宋" w:cs="仿宋"/>
          <w:color w:val="auto"/>
          <w:kern w:val="2"/>
          <w:sz w:val="21"/>
          <w:szCs w:val="21"/>
          <w:highlight w:val="none"/>
          <w:u w:val="none"/>
          <w:lang w:val="en-US" w:eastAsia="zh-CN" w:bidi="ar-SA"/>
        </w:rPr>
        <w:t>招采</w:t>
      </w:r>
      <w:r>
        <w:rPr>
          <w:rFonts w:hint="eastAsia" w:ascii="仿宋" w:hAnsi="仿宋" w:eastAsia="仿宋" w:cs="仿宋"/>
          <w:color w:val="auto"/>
          <w:sz w:val="21"/>
          <w:szCs w:val="21"/>
          <w:highlight w:val="none"/>
          <w:u w:val="none"/>
          <w:shd w:val="clear" w:color="auto" w:fill="FFFFFF"/>
        </w:rPr>
        <w:t>平台系统递交电子投标文件，递交投标文件逾期，系统将无法上传投标文件，视为放弃投标，请务必悉知。</w:t>
      </w:r>
    </w:p>
    <w:p w14:paraId="0FFECD3A">
      <w:pPr>
        <w:spacing w:line="360" w:lineRule="exact"/>
        <w:ind w:firstLine="420" w:firstLineChars="200"/>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shd w:val="clear" w:color="auto" w:fill="FFFFFF"/>
        </w:rPr>
        <w:t>2</w:t>
      </w:r>
      <w:r>
        <w:rPr>
          <w:rFonts w:hint="eastAsia" w:ascii="仿宋" w:hAnsi="仿宋" w:eastAsia="仿宋" w:cs="仿宋"/>
          <w:color w:val="auto"/>
          <w:sz w:val="21"/>
          <w:szCs w:val="21"/>
          <w:highlight w:val="none"/>
          <w:u w:val="none"/>
          <w:shd w:val="clear" w:color="auto" w:fill="FFFFFF"/>
          <w:lang w:val="en-US" w:eastAsia="zh-CN"/>
        </w:rPr>
        <w:t>.</w:t>
      </w:r>
      <w:r>
        <w:rPr>
          <w:rFonts w:hint="eastAsia" w:ascii="仿宋" w:hAnsi="仿宋" w:eastAsia="仿宋" w:cs="仿宋"/>
          <w:color w:val="auto"/>
          <w:sz w:val="21"/>
          <w:szCs w:val="21"/>
          <w:highlight w:val="none"/>
          <w:u w:val="none"/>
          <w:shd w:val="clear" w:color="auto" w:fill="FFFFFF"/>
        </w:rPr>
        <w:t>制作投标文件：登陆</w:t>
      </w:r>
      <w:r>
        <w:rPr>
          <w:rFonts w:hint="eastAsia" w:ascii="仿宋" w:hAnsi="仿宋" w:eastAsia="仿宋" w:cs="仿宋"/>
          <w:color w:val="auto"/>
          <w:kern w:val="2"/>
          <w:sz w:val="21"/>
          <w:szCs w:val="21"/>
          <w:highlight w:val="none"/>
          <w:u w:val="none"/>
          <w:lang w:val="en-US" w:eastAsia="zh-CN" w:bidi="ar-SA"/>
        </w:rPr>
        <w:t>招采</w:t>
      </w:r>
      <w:r>
        <w:rPr>
          <w:rFonts w:hint="eastAsia" w:ascii="仿宋" w:hAnsi="仿宋" w:eastAsia="仿宋" w:cs="仿宋"/>
          <w:color w:val="auto"/>
          <w:sz w:val="21"/>
          <w:szCs w:val="21"/>
          <w:highlight w:val="none"/>
          <w:u w:val="none"/>
          <w:shd w:val="clear" w:color="auto" w:fill="FFFFFF"/>
        </w:rPr>
        <w:t>平台</w:t>
      </w:r>
      <w:r>
        <w:rPr>
          <w:rFonts w:hint="eastAsia" w:ascii="仿宋" w:hAnsi="仿宋" w:eastAsia="仿宋" w:cs="仿宋"/>
          <w:color w:val="auto"/>
          <w:sz w:val="21"/>
          <w:szCs w:val="21"/>
          <w:highlight w:val="none"/>
          <w:u w:val="none"/>
          <w:shd w:val="clear" w:color="auto" w:fill="FFFFFF"/>
          <w:lang w:eastAsia="zh-CN"/>
        </w:rPr>
        <w:t>，</w:t>
      </w:r>
      <w:r>
        <w:rPr>
          <w:rFonts w:hint="eastAsia" w:ascii="仿宋" w:hAnsi="仿宋" w:eastAsia="仿宋" w:cs="仿宋"/>
          <w:color w:val="auto"/>
          <w:sz w:val="21"/>
          <w:szCs w:val="21"/>
          <w:highlight w:val="none"/>
          <w:u w:val="none"/>
          <w:shd w:val="clear" w:color="auto" w:fill="FFFFFF"/>
        </w:rPr>
        <w:t>投标人在供应商窗口有下载投标软件制作工具和供应商手册，供应商手册详细说明了如何报名、缴费、下载招标文件、下载变更后招标文件、制作投标文件、上传投标文件、开标签到解密、评标澄清回复、二次报价等。</w:t>
      </w:r>
    </w:p>
    <w:p w14:paraId="66AD86E1">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shd w:val="clear" w:color="auto" w:fill="FFFFFF"/>
        </w:rPr>
        <w:t>3</w:t>
      </w:r>
      <w:r>
        <w:rPr>
          <w:rFonts w:hint="eastAsia" w:ascii="仿宋" w:hAnsi="仿宋" w:eastAsia="仿宋" w:cs="仿宋"/>
          <w:color w:val="auto"/>
          <w:sz w:val="21"/>
          <w:szCs w:val="21"/>
          <w:highlight w:val="none"/>
          <w:u w:val="none"/>
          <w:shd w:val="clear" w:color="auto" w:fill="FFFFFF"/>
          <w:lang w:val="en-US" w:eastAsia="zh-CN"/>
        </w:rPr>
        <w:t>.</w:t>
      </w:r>
      <w:r>
        <w:rPr>
          <w:rFonts w:hint="eastAsia" w:ascii="仿宋" w:hAnsi="仿宋" w:eastAsia="仿宋" w:cs="仿宋"/>
          <w:color w:val="auto"/>
          <w:sz w:val="21"/>
          <w:szCs w:val="21"/>
          <w:highlight w:val="none"/>
          <w:u w:val="none"/>
          <w:shd w:val="clear" w:color="auto" w:fill="FFFFFF"/>
        </w:rPr>
        <w:t>本项目投标文件递交方式：登陆</w:t>
      </w:r>
      <w:r>
        <w:rPr>
          <w:rFonts w:hint="eastAsia" w:ascii="仿宋" w:hAnsi="仿宋" w:eastAsia="仿宋" w:cs="仿宋"/>
          <w:color w:val="auto"/>
          <w:kern w:val="2"/>
          <w:sz w:val="21"/>
          <w:szCs w:val="21"/>
          <w:highlight w:val="none"/>
          <w:u w:val="none"/>
          <w:lang w:val="en-US" w:eastAsia="zh-CN" w:bidi="ar-SA"/>
        </w:rPr>
        <w:t>招采</w:t>
      </w:r>
      <w:r>
        <w:rPr>
          <w:rFonts w:hint="eastAsia" w:ascii="仿宋" w:hAnsi="仿宋" w:eastAsia="仿宋" w:cs="仿宋"/>
          <w:color w:val="auto"/>
          <w:sz w:val="21"/>
          <w:szCs w:val="21"/>
          <w:highlight w:val="none"/>
          <w:u w:val="none"/>
          <w:shd w:val="clear" w:color="auto" w:fill="FFFFFF"/>
        </w:rPr>
        <w:t>平台</w:t>
      </w:r>
      <w:r>
        <w:rPr>
          <w:rFonts w:hint="eastAsia" w:ascii="仿宋" w:hAnsi="仿宋" w:eastAsia="仿宋" w:cs="仿宋"/>
          <w:color w:val="auto"/>
          <w:sz w:val="21"/>
          <w:szCs w:val="21"/>
          <w:highlight w:val="none"/>
          <w:u w:val="none"/>
          <w:shd w:val="clear" w:color="auto" w:fill="FFFFFF"/>
          <w:lang w:eastAsia="zh-CN"/>
        </w:rPr>
        <w:t>，</w:t>
      </w:r>
      <w:r>
        <w:rPr>
          <w:rFonts w:hint="eastAsia" w:ascii="仿宋" w:hAnsi="仿宋" w:eastAsia="仿宋" w:cs="仿宋"/>
          <w:color w:val="auto"/>
          <w:sz w:val="21"/>
          <w:szCs w:val="21"/>
          <w:highlight w:val="none"/>
          <w:u w:val="none"/>
          <w:shd w:val="clear" w:color="auto" w:fill="FFFFFF"/>
        </w:rPr>
        <w:t>投标人在供应商窗口输入企业名称和密码后</w:t>
      </w:r>
      <w:r>
        <w:rPr>
          <w:rFonts w:hint="eastAsia" w:ascii="仿宋" w:hAnsi="仿宋" w:eastAsia="仿宋" w:cs="仿宋"/>
          <w:color w:val="auto"/>
          <w:sz w:val="21"/>
          <w:szCs w:val="21"/>
          <w:highlight w:val="none"/>
          <w:u w:val="none"/>
          <w:shd w:val="clear" w:color="auto" w:fill="FFFFFF"/>
          <w:lang w:eastAsia="zh-CN"/>
        </w:rPr>
        <w:t>登录系统</w:t>
      </w:r>
      <w:r>
        <w:rPr>
          <w:rFonts w:hint="eastAsia" w:ascii="仿宋" w:hAnsi="仿宋" w:eastAsia="仿宋" w:cs="仿宋"/>
          <w:color w:val="auto"/>
          <w:sz w:val="21"/>
          <w:szCs w:val="21"/>
          <w:highlight w:val="none"/>
          <w:u w:val="none"/>
          <w:shd w:val="clear" w:color="auto" w:fill="FFFFFF"/>
        </w:rPr>
        <w:t>；在“项目投标”-“上传投标文件”点击“上传”按钮上传投标文件。 </w:t>
      </w:r>
    </w:p>
    <w:p w14:paraId="5BFCB841">
      <w:pPr>
        <w:pStyle w:val="23"/>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exact"/>
        <w:ind w:left="0" w:right="0" w:firstLine="384"/>
        <w:textAlignment w:val="auto"/>
        <w:rPr>
          <w:rStyle w:val="31"/>
          <w:rFonts w:hint="eastAsia" w:ascii="仿宋" w:hAnsi="仿宋" w:eastAsia="仿宋" w:cs="仿宋"/>
          <w:b/>
          <w:bCs/>
          <w:i w:val="0"/>
          <w:color w:val="auto"/>
          <w:sz w:val="21"/>
          <w:szCs w:val="21"/>
          <w:highlight w:val="none"/>
          <w:u w:val="none"/>
          <w:shd w:val="clear" w:color="auto" w:fill="FFFFFF"/>
          <w:lang w:val="en-US" w:eastAsia="zh-CN"/>
        </w:rPr>
      </w:pPr>
      <w:r>
        <w:rPr>
          <w:rStyle w:val="31"/>
          <w:rFonts w:hint="eastAsia" w:ascii="仿宋" w:hAnsi="仿宋" w:eastAsia="仿宋" w:cs="仿宋"/>
          <w:b/>
          <w:bCs/>
          <w:i w:val="0"/>
          <w:color w:val="auto"/>
          <w:sz w:val="21"/>
          <w:szCs w:val="21"/>
          <w:highlight w:val="none"/>
          <w:u w:val="none"/>
          <w:shd w:val="clear" w:color="auto" w:fill="FFFFFF"/>
          <w:lang w:val="en-US" w:eastAsia="zh-CN"/>
        </w:rPr>
        <w:t>十、联系方式</w:t>
      </w:r>
    </w:p>
    <w:p w14:paraId="7AFCE7A8">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b/>
          <w:bCs/>
          <w:color w:val="auto"/>
          <w:sz w:val="21"/>
          <w:szCs w:val="21"/>
          <w:highlight w:val="none"/>
          <w:u w:val="none"/>
          <w:lang w:eastAsia="zh-CN"/>
        </w:rPr>
      </w:pPr>
      <w:r>
        <w:rPr>
          <w:rFonts w:hint="eastAsia" w:ascii="仿宋" w:hAnsi="仿宋" w:eastAsia="仿宋" w:cs="仿宋"/>
          <w:b/>
          <w:bCs/>
          <w:color w:val="auto"/>
          <w:sz w:val="21"/>
          <w:szCs w:val="21"/>
          <w:highlight w:val="none"/>
          <w:u w:val="none"/>
          <w:lang w:val="en-US" w:eastAsia="zh-CN"/>
        </w:rPr>
        <w:t>1.</w:t>
      </w:r>
      <w:r>
        <w:rPr>
          <w:rFonts w:hint="eastAsia" w:ascii="仿宋" w:hAnsi="仿宋" w:eastAsia="仿宋" w:cs="仿宋"/>
          <w:b/>
          <w:bCs/>
          <w:color w:val="auto"/>
          <w:sz w:val="21"/>
          <w:szCs w:val="21"/>
          <w:highlight w:val="none"/>
          <w:u w:val="none"/>
        </w:rPr>
        <w:t>招标咨询：</w:t>
      </w:r>
    </w:p>
    <w:p w14:paraId="2DBA0F8E">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eastAsia="zh-CN"/>
        </w:rPr>
      </w:pPr>
      <w:r>
        <w:rPr>
          <w:rFonts w:hint="eastAsia" w:ascii="仿宋" w:hAnsi="仿宋" w:eastAsia="仿宋" w:cs="仿宋"/>
          <w:color w:val="auto"/>
          <w:sz w:val="21"/>
          <w:szCs w:val="21"/>
          <w:highlight w:val="none"/>
          <w:u w:val="none"/>
        </w:rPr>
        <w:t>招标</w:t>
      </w:r>
      <w:r>
        <w:rPr>
          <w:rFonts w:hint="eastAsia" w:ascii="仿宋" w:hAnsi="仿宋" w:eastAsia="仿宋" w:cs="仿宋"/>
          <w:color w:val="auto"/>
          <w:sz w:val="21"/>
          <w:szCs w:val="21"/>
          <w:highlight w:val="none"/>
          <w:u w:val="none"/>
          <w:lang w:val="en-US" w:eastAsia="zh-CN"/>
        </w:rPr>
        <w:t>项目</w:t>
      </w:r>
      <w:r>
        <w:rPr>
          <w:rFonts w:hint="eastAsia" w:ascii="仿宋" w:hAnsi="仿宋" w:eastAsia="仿宋" w:cs="仿宋"/>
          <w:color w:val="auto"/>
          <w:sz w:val="21"/>
          <w:szCs w:val="21"/>
          <w:highlight w:val="none"/>
          <w:u w:val="none"/>
        </w:rPr>
        <w:t>：</w:t>
      </w:r>
      <w:permStart w:id="26" w:edGrp="everyone"/>
      <w:r>
        <w:rPr>
          <w:rFonts w:hint="eastAsia" w:ascii="仿宋" w:hAnsi="仿宋" w:eastAsia="仿宋" w:cs="仿宋"/>
          <w:color w:val="auto"/>
          <w:sz w:val="21"/>
          <w:szCs w:val="21"/>
          <w:highlight w:val="none"/>
          <w:u w:val="none"/>
        </w:rPr>
        <w:t>  </w:t>
      </w:r>
      <w:r>
        <w:rPr>
          <w:rFonts w:hint="eastAsia" w:ascii="仿宋" w:hAnsi="仿宋" w:eastAsia="仿宋" w:cs="仿宋"/>
          <w:color w:val="auto"/>
          <w:sz w:val="21"/>
          <w:szCs w:val="21"/>
          <w:highlight w:val="none"/>
          <w:u w:val="single"/>
          <w:lang w:val="en-US" w:eastAsia="zh-CN"/>
        </w:rPr>
        <w:t>耒阳市蔡伦纸品产业配套项目（EPC+0)总承包</w:t>
      </w:r>
      <w:r>
        <w:rPr>
          <w:rFonts w:hint="eastAsia" w:ascii="仿宋" w:hAnsi="仿宋" w:eastAsia="仿宋" w:cs="仿宋"/>
          <w:color w:val="auto"/>
          <w:sz w:val="21"/>
          <w:szCs w:val="21"/>
          <w:highlight w:val="none"/>
          <w:u w:val="none"/>
        </w:rPr>
        <w:t>   </w:t>
      </w:r>
      <w:permEnd w:id="26"/>
      <w:r>
        <w:rPr>
          <w:rFonts w:hint="eastAsia" w:ascii="仿宋" w:hAnsi="仿宋" w:eastAsia="仿宋" w:cs="仿宋"/>
          <w:color w:val="auto"/>
          <w:sz w:val="21"/>
          <w:szCs w:val="21"/>
          <w:highlight w:val="none"/>
          <w:u w:val="none"/>
        </w:rPr>
        <w:t>   </w:t>
      </w:r>
    </w:p>
    <w:p w14:paraId="2F38B389">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val="en-US" w:eastAsia="zh-CN"/>
        </w:rPr>
      </w:pPr>
      <w:r>
        <w:rPr>
          <w:rFonts w:hint="eastAsia" w:ascii="仿宋" w:hAnsi="仿宋" w:eastAsia="仿宋" w:cs="仿宋"/>
          <w:color w:val="auto"/>
          <w:sz w:val="21"/>
          <w:szCs w:val="21"/>
          <w:highlight w:val="none"/>
          <w:u w:val="none"/>
        </w:rPr>
        <w:t>地址：</w:t>
      </w:r>
      <w:permStart w:id="27" w:edGrp="everyone"/>
      <w:r>
        <w:rPr>
          <w:rFonts w:hint="eastAsia" w:ascii="仿宋" w:hAnsi="仿宋" w:eastAsia="仿宋" w:cs="仿宋"/>
          <w:color w:val="auto"/>
          <w:sz w:val="21"/>
          <w:szCs w:val="21"/>
          <w:highlight w:val="none"/>
          <w:u w:val="none"/>
        </w:rPr>
        <w:t>   </w:t>
      </w:r>
      <w:r>
        <w:rPr>
          <w:rFonts w:hint="eastAsia" w:ascii="仿宋" w:hAnsi="仿宋" w:eastAsia="仿宋" w:cs="仿宋"/>
          <w:sz w:val="21"/>
          <w:szCs w:val="21"/>
          <w:highlight w:val="none"/>
          <w:u w:val="none"/>
        </w:rPr>
        <w:t>  </w:t>
      </w:r>
      <w:r>
        <w:rPr>
          <w:rFonts w:hint="eastAsia" w:ascii="仿宋" w:hAnsi="仿宋" w:eastAsia="仿宋" w:cs="仿宋"/>
          <w:szCs w:val="21"/>
          <w:u w:val="single"/>
        </w:rPr>
        <w:t>耒阳市三架办事处白洋渡村</w:t>
      </w:r>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 w:val="21"/>
          <w:szCs w:val="21"/>
          <w:highlight w:val="none"/>
          <w:u w:val="none"/>
        </w:rPr>
        <w:t>     </w:t>
      </w:r>
      <w:r>
        <w:rPr>
          <w:rFonts w:hint="eastAsia" w:ascii="仿宋" w:hAnsi="仿宋" w:eastAsia="仿宋" w:cs="仿宋"/>
          <w:color w:val="auto"/>
          <w:sz w:val="21"/>
          <w:szCs w:val="21"/>
          <w:highlight w:val="none"/>
          <w:u w:val="none"/>
          <w:lang w:val="en-US" w:eastAsia="zh-CN"/>
        </w:rPr>
        <w:t xml:space="preserve">  </w:t>
      </w:r>
      <w:permEnd w:id="27"/>
    </w:p>
    <w:p w14:paraId="38D951D6">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rPr>
        <w:t>联系人：</w:t>
      </w:r>
      <w:permStart w:id="28" w:edGrp="everyone"/>
      <w:r>
        <w:rPr>
          <w:rFonts w:hint="eastAsia" w:ascii="仿宋" w:hAnsi="仿宋" w:eastAsia="仿宋" w:cs="仿宋"/>
          <w:color w:val="auto"/>
          <w:sz w:val="21"/>
          <w:szCs w:val="21"/>
          <w:highlight w:val="none"/>
          <w:u w:val="none"/>
        </w:rPr>
        <w:t>   </w:t>
      </w:r>
      <w:r>
        <w:rPr>
          <w:rFonts w:hint="eastAsia" w:ascii="仿宋" w:hAnsi="仿宋" w:eastAsia="仿宋" w:cs="仿宋"/>
          <w:color w:val="auto"/>
          <w:sz w:val="21"/>
          <w:szCs w:val="21"/>
          <w:highlight w:val="none"/>
          <w:u w:val="none"/>
          <w:lang w:val="en-US" w:eastAsia="zh-CN"/>
        </w:rPr>
        <w:t>潘工</w:t>
      </w:r>
      <w:r>
        <w:rPr>
          <w:rFonts w:hint="eastAsia" w:ascii="仿宋" w:hAnsi="仿宋" w:eastAsia="仿宋" w:cs="仿宋"/>
          <w:color w:val="auto"/>
          <w:sz w:val="21"/>
          <w:szCs w:val="21"/>
          <w:highlight w:val="none"/>
          <w:u w:val="none"/>
          <w:lang w:val="en-US" w:eastAsia="zh-CN"/>
        </w:rPr>
        <w:tab/>
      </w:r>
      <w:permEnd w:id="28"/>
      <w:r>
        <w:rPr>
          <w:rFonts w:hint="eastAsia" w:ascii="仿宋" w:hAnsi="仿宋" w:eastAsia="仿宋" w:cs="仿宋"/>
          <w:color w:val="auto"/>
          <w:sz w:val="21"/>
          <w:szCs w:val="21"/>
          <w:highlight w:val="none"/>
          <w:u w:val="none"/>
        </w:rPr>
        <w:t> 电话：</w:t>
      </w:r>
      <w:permStart w:id="29" w:edGrp="everyone"/>
      <w:r>
        <w:rPr>
          <w:rFonts w:hint="eastAsia" w:ascii="仿宋" w:hAnsi="仿宋" w:eastAsia="仿宋" w:cs="仿宋"/>
          <w:color w:val="auto"/>
          <w:sz w:val="21"/>
          <w:szCs w:val="21"/>
          <w:highlight w:val="none"/>
          <w:u w:val="none"/>
        </w:rPr>
        <w:t> </w:t>
      </w:r>
      <w:r>
        <w:rPr>
          <w:rFonts w:hint="eastAsia" w:ascii="仿宋" w:hAnsi="仿宋" w:eastAsia="仿宋" w:cs="仿宋"/>
          <w:color w:val="auto"/>
          <w:sz w:val="21"/>
          <w:szCs w:val="21"/>
          <w:highlight w:val="none"/>
          <w:u w:val="none"/>
          <w:lang w:val="en-US" w:eastAsia="zh-CN"/>
        </w:rPr>
        <w:t>13955298108</w:t>
      </w:r>
      <w:r>
        <w:rPr>
          <w:rFonts w:hint="eastAsia" w:ascii="仿宋" w:hAnsi="仿宋" w:eastAsia="仿宋" w:cs="仿宋"/>
          <w:color w:val="auto"/>
          <w:sz w:val="21"/>
          <w:szCs w:val="21"/>
          <w:highlight w:val="none"/>
          <w:u w:val="none"/>
        </w:rPr>
        <w:t>  </w:t>
      </w:r>
      <w:permEnd w:id="29"/>
      <w:r>
        <w:rPr>
          <w:rFonts w:hint="eastAsia" w:ascii="仿宋" w:hAnsi="仿宋" w:eastAsia="仿宋" w:cs="仿宋"/>
          <w:color w:val="auto"/>
          <w:sz w:val="21"/>
          <w:szCs w:val="21"/>
          <w:highlight w:val="none"/>
          <w:u w:val="none"/>
        </w:rPr>
        <w:t>电子邮箱：</w:t>
      </w:r>
      <w:permStart w:id="30" w:edGrp="everyone"/>
      <w:r>
        <w:rPr>
          <w:rFonts w:hint="eastAsia" w:ascii="仿宋" w:hAnsi="仿宋" w:eastAsia="仿宋" w:cs="仿宋"/>
          <w:color w:val="auto"/>
          <w:sz w:val="21"/>
          <w:szCs w:val="21"/>
          <w:highlight w:val="none"/>
          <w:u w:val="none"/>
        </w:rPr>
        <w:t> </w:t>
      </w:r>
      <w:r>
        <w:rPr>
          <w:rFonts w:hint="eastAsia" w:ascii="仿宋" w:hAnsi="仿宋" w:eastAsia="仿宋" w:cs="仿宋"/>
          <w:color w:val="auto"/>
          <w:sz w:val="21"/>
          <w:szCs w:val="21"/>
          <w:highlight w:val="none"/>
          <w:u w:val="none"/>
          <w:lang w:val="en-US" w:eastAsia="zh-CN"/>
        </w:rPr>
        <w:t>444025658@qq.com</w:t>
      </w:r>
      <w:r>
        <w:rPr>
          <w:rFonts w:hint="eastAsia" w:ascii="仿宋" w:hAnsi="仿宋" w:eastAsia="仿宋" w:cs="仿宋"/>
          <w:color w:val="auto"/>
          <w:sz w:val="21"/>
          <w:szCs w:val="21"/>
          <w:highlight w:val="none"/>
          <w:u w:val="none"/>
        </w:rPr>
        <w:t>  </w:t>
      </w:r>
      <w:permEnd w:id="30"/>
    </w:p>
    <w:p w14:paraId="631AFC4E">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firstLine="422" w:firstLineChars="200"/>
        <w:textAlignment w:val="auto"/>
        <w:rPr>
          <w:rFonts w:hint="eastAsia" w:ascii="仿宋" w:hAnsi="仿宋" w:eastAsia="仿宋" w:cs="仿宋"/>
          <w:b/>
          <w:bCs/>
          <w:color w:val="auto"/>
          <w:sz w:val="21"/>
          <w:szCs w:val="21"/>
          <w:highlight w:val="none"/>
          <w:u w:val="none"/>
          <w:lang w:eastAsia="zh-CN"/>
        </w:rPr>
      </w:pPr>
      <w:r>
        <w:rPr>
          <w:rFonts w:hint="eastAsia" w:ascii="仿宋" w:hAnsi="仿宋" w:eastAsia="仿宋" w:cs="仿宋"/>
          <w:b/>
          <w:bCs/>
          <w:color w:val="auto"/>
          <w:sz w:val="21"/>
          <w:szCs w:val="21"/>
          <w:highlight w:val="none"/>
          <w:u w:val="none"/>
          <w:lang w:val="en-US" w:eastAsia="zh-CN"/>
        </w:rPr>
        <w:t>2.</w:t>
      </w:r>
      <w:r>
        <w:rPr>
          <w:rFonts w:hint="eastAsia" w:ascii="仿宋" w:hAnsi="仿宋" w:eastAsia="仿宋" w:cs="仿宋"/>
          <w:b/>
          <w:bCs/>
          <w:color w:val="auto"/>
          <w:sz w:val="21"/>
          <w:szCs w:val="21"/>
          <w:highlight w:val="none"/>
          <w:u w:val="none"/>
        </w:rPr>
        <w:t>招标</w:t>
      </w:r>
      <w:r>
        <w:rPr>
          <w:rFonts w:hint="eastAsia" w:ascii="仿宋" w:hAnsi="仿宋" w:eastAsia="仿宋" w:cs="仿宋"/>
          <w:b/>
          <w:bCs/>
          <w:color w:val="auto"/>
          <w:sz w:val="21"/>
          <w:szCs w:val="21"/>
          <w:highlight w:val="none"/>
          <w:u w:val="none"/>
          <w:lang w:val="en-US" w:eastAsia="zh-CN"/>
        </w:rPr>
        <w:t>质疑</w:t>
      </w:r>
      <w:r>
        <w:rPr>
          <w:rFonts w:hint="eastAsia" w:ascii="仿宋" w:hAnsi="仿宋" w:eastAsia="仿宋" w:cs="仿宋"/>
          <w:b/>
          <w:bCs/>
          <w:color w:val="auto"/>
          <w:sz w:val="21"/>
          <w:szCs w:val="21"/>
          <w:highlight w:val="none"/>
          <w:u w:val="none"/>
        </w:rPr>
        <w:t>：</w:t>
      </w:r>
    </w:p>
    <w:p w14:paraId="440F663B">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firstLine="420"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b w:val="0"/>
          <w:bCs w:val="0"/>
          <w:color w:val="auto"/>
          <w:sz w:val="21"/>
          <w:szCs w:val="21"/>
          <w:highlight w:val="none"/>
          <w:u w:val="none"/>
          <w:lang w:eastAsia="zh-CN"/>
        </w:rPr>
        <w:t>（</w:t>
      </w:r>
      <w:r>
        <w:rPr>
          <w:rFonts w:hint="eastAsia" w:ascii="仿宋" w:hAnsi="仿宋" w:eastAsia="仿宋" w:cs="仿宋"/>
          <w:b w:val="0"/>
          <w:bCs w:val="0"/>
          <w:color w:val="auto"/>
          <w:sz w:val="21"/>
          <w:szCs w:val="21"/>
          <w:highlight w:val="none"/>
          <w:u w:val="none"/>
          <w:lang w:val="en-US" w:eastAsia="zh-CN"/>
        </w:rPr>
        <w:t>1）招标机构：</w:t>
      </w:r>
      <w:r>
        <w:rPr>
          <w:rFonts w:hint="eastAsia" w:ascii="仿宋" w:hAnsi="仿宋" w:eastAsia="仿宋" w:cs="仿宋"/>
          <w:b/>
          <w:bCs/>
          <w:color w:val="auto"/>
          <w:sz w:val="21"/>
          <w:szCs w:val="21"/>
          <w:highlight w:val="none"/>
          <w:u w:val="none"/>
          <w:lang w:val="en-US" w:eastAsia="zh-CN"/>
        </w:rPr>
        <w:t xml:space="preserve">   </w:t>
      </w:r>
      <w:r>
        <w:rPr>
          <w:rFonts w:hint="eastAsia" w:ascii="仿宋" w:hAnsi="仿宋" w:eastAsia="仿宋" w:cs="仿宋"/>
          <w:color w:val="auto"/>
          <w:sz w:val="21"/>
          <w:szCs w:val="21"/>
          <w:highlight w:val="none"/>
          <w:u w:val="none"/>
        </w:rPr>
        <w:t xml:space="preserve"> 建工水利招标中心 </w:t>
      </w:r>
      <w:r>
        <w:rPr>
          <w:rFonts w:hint="eastAsia" w:ascii="仿宋" w:hAnsi="仿宋" w:eastAsia="仿宋" w:cs="仿宋"/>
          <w:b/>
          <w:bCs/>
          <w:color w:val="auto"/>
          <w:sz w:val="21"/>
          <w:szCs w:val="21"/>
          <w:highlight w:val="none"/>
          <w:u w:val="none"/>
          <w:lang w:val="en-US" w:eastAsia="zh-CN"/>
        </w:rPr>
        <w:t xml:space="preserve">   </w:t>
      </w:r>
    </w:p>
    <w:p w14:paraId="6640C054">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559" w:leftChars="266" w:firstLine="0" w:firstLineChars="0"/>
        <w:textAlignment w:val="auto"/>
        <w:rPr>
          <w:rFonts w:hint="eastAsia" w:ascii="仿宋" w:hAnsi="仿宋" w:eastAsia="仿宋" w:cs="仿宋"/>
          <w:color w:val="auto"/>
          <w:sz w:val="21"/>
          <w:szCs w:val="21"/>
          <w:highlight w:val="none"/>
          <w:u w:val="none"/>
          <w:lang w:val="en-US" w:eastAsia="zh-CN"/>
        </w:rPr>
      </w:pPr>
      <w:r>
        <w:rPr>
          <w:rFonts w:hint="eastAsia" w:ascii="仿宋" w:hAnsi="仿宋" w:eastAsia="仿宋" w:cs="仿宋"/>
          <w:color w:val="auto"/>
          <w:sz w:val="21"/>
          <w:szCs w:val="21"/>
          <w:highlight w:val="none"/>
          <w:u w:val="none"/>
        </w:rPr>
        <w:t>地址：     蚌埠市燕南路17号 </w:t>
      </w:r>
      <w:r>
        <w:rPr>
          <w:rFonts w:hint="eastAsia" w:ascii="仿宋" w:hAnsi="仿宋" w:eastAsia="仿宋" w:cs="仿宋"/>
          <w:color w:val="auto"/>
          <w:sz w:val="21"/>
          <w:szCs w:val="21"/>
          <w:highlight w:val="none"/>
          <w:u w:val="none"/>
          <w:lang w:val="en-US" w:eastAsia="zh-CN"/>
        </w:rPr>
        <w:t xml:space="preserve">  </w:t>
      </w:r>
    </w:p>
    <w:p w14:paraId="0123CF80">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559" w:leftChars="266" w:firstLine="0" w:firstLineChars="0"/>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rPr>
        <w:t>联系人：</w:t>
      </w:r>
      <w:r>
        <w:rPr>
          <w:rFonts w:hint="eastAsia" w:ascii="仿宋" w:hAnsi="仿宋" w:eastAsia="仿宋" w:cs="仿宋"/>
          <w:b w:val="0"/>
          <w:bCs w:val="0"/>
          <w:color w:val="auto"/>
          <w:sz w:val="21"/>
          <w:szCs w:val="21"/>
          <w:highlight w:val="none"/>
          <w:u w:val="none"/>
        </w:rPr>
        <w:t> </w:t>
      </w:r>
      <w:permStart w:id="31" w:edGrp="everyone"/>
      <w:r>
        <w:rPr>
          <w:rFonts w:hint="eastAsia" w:ascii="仿宋" w:hAnsi="仿宋" w:eastAsia="仿宋" w:cs="仿宋"/>
          <w:b w:val="0"/>
          <w:bCs w:val="0"/>
          <w:color w:val="auto"/>
          <w:szCs w:val="21"/>
          <w:highlight w:val="none"/>
          <w:u w:val="none"/>
          <w:lang w:val="en-US" w:eastAsia="zh-CN"/>
        </w:rPr>
        <w:t>左工</w:t>
      </w:r>
      <w:permEnd w:id="31"/>
      <w:r>
        <w:rPr>
          <w:rFonts w:hint="eastAsia" w:ascii="仿宋" w:hAnsi="仿宋" w:eastAsia="仿宋" w:cs="仿宋"/>
          <w:b w:val="0"/>
          <w:bCs w:val="0"/>
          <w:color w:val="auto"/>
          <w:sz w:val="21"/>
          <w:szCs w:val="21"/>
          <w:highlight w:val="none"/>
          <w:u w:val="none"/>
        </w:rPr>
        <w:t> </w:t>
      </w:r>
      <w:r>
        <w:rPr>
          <w:rFonts w:hint="eastAsia" w:ascii="仿宋" w:hAnsi="仿宋" w:eastAsia="仿宋" w:cs="仿宋"/>
          <w:color w:val="auto"/>
          <w:sz w:val="21"/>
          <w:szCs w:val="21"/>
          <w:highlight w:val="none"/>
          <w:u w:val="none"/>
        </w:rPr>
        <w:t>电话：</w:t>
      </w:r>
      <w:permStart w:id="32" w:edGrp="everyone"/>
      <w:r>
        <w:rPr>
          <w:rFonts w:hint="eastAsia" w:ascii="仿宋" w:hAnsi="仿宋" w:eastAsia="仿宋" w:cs="仿宋"/>
          <w:color w:val="auto"/>
          <w:sz w:val="21"/>
          <w:szCs w:val="21"/>
          <w:highlight w:val="none"/>
          <w:u w:val="none"/>
        </w:rPr>
        <w:t> </w:t>
      </w:r>
      <w:r>
        <w:rPr>
          <w:rFonts w:hint="eastAsia" w:ascii="仿宋" w:hAnsi="仿宋" w:eastAsia="仿宋" w:cs="仿宋"/>
          <w:color w:val="auto"/>
          <w:szCs w:val="21"/>
          <w:highlight w:val="none"/>
          <w:u w:val="none"/>
        </w:rPr>
        <w:t> </w:t>
      </w:r>
      <w:r>
        <w:rPr>
          <w:rFonts w:hint="eastAsia" w:ascii="仿宋" w:hAnsi="仿宋" w:eastAsia="仿宋" w:cs="仿宋"/>
          <w:color w:val="auto"/>
          <w:szCs w:val="21"/>
          <w:highlight w:val="none"/>
          <w:u w:val="none"/>
          <w:lang w:val="en-US" w:eastAsia="zh-CN"/>
        </w:rPr>
        <w:t>15197097558</w:t>
      </w:r>
      <w:r>
        <w:rPr>
          <w:rFonts w:hint="eastAsia" w:ascii="仿宋" w:hAnsi="仿宋" w:eastAsia="仿宋" w:cs="仿宋"/>
          <w:color w:val="auto"/>
          <w:sz w:val="21"/>
          <w:szCs w:val="21"/>
          <w:highlight w:val="none"/>
          <w:u w:val="none"/>
          <w:lang w:val="en-US" w:eastAsia="zh-CN"/>
        </w:rPr>
        <w:t xml:space="preserve"> </w:t>
      </w:r>
      <w:r>
        <w:rPr>
          <w:rFonts w:hint="eastAsia" w:ascii="仿宋" w:hAnsi="仿宋" w:eastAsia="仿宋" w:cs="仿宋"/>
          <w:color w:val="auto"/>
          <w:sz w:val="21"/>
          <w:szCs w:val="21"/>
          <w:highlight w:val="none"/>
          <w:u w:val="none"/>
        </w:rPr>
        <w:t> </w:t>
      </w:r>
      <w:permEnd w:id="32"/>
      <w:r>
        <w:rPr>
          <w:rFonts w:hint="eastAsia" w:ascii="仿宋" w:hAnsi="仿宋" w:eastAsia="仿宋" w:cs="仿宋"/>
          <w:color w:val="auto"/>
          <w:sz w:val="21"/>
          <w:szCs w:val="21"/>
          <w:highlight w:val="none"/>
          <w:u w:val="none"/>
        </w:rPr>
        <w:t>电子邮箱：</w:t>
      </w:r>
      <w:permStart w:id="33" w:edGrp="everyone"/>
      <w:r>
        <w:rPr>
          <w:rFonts w:hint="eastAsia" w:ascii="仿宋" w:hAnsi="仿宋" w:eastAsia="仿宋" w:cs="仿宋"/>
          <w:color w:val="auto"/>
          <w:szCs w:val="21"/>
          <w:highlight w:val="none"/>
          <w:u w:val="none"/>
        </w:rPr>
        <w:t> </w:t>
      </w:r>
      <w:r>
        <w:rPr>
          <w:rFonts w:hint="eastAsia" w:ascii="仿宋" w:hAnsi="仿宋" w:eastAsia="仿宋" w:cs="仿宋"/>
          <w:color w:val="auto"/>
          <w:szCs w:val="21"/>
          <w:highlight w:val="none"/>
          <w:u w:val="none"/>
          <w:lang w:val="en-US" w:eastAsia="zh-CN"/>
        </w:rPr>
        <w:t>1049238942@qq.com</w:t>
      </w:r>
      <w:r>
        <w:rPr>
          <w:rFonts w:hint="eastAsia" w:ascii="仿宋" w:hAnsi="仿宋" w:eastAsia="仿宋" w:cs="仿宋"/>
          <w:color w:val="auto"/>
          <w:sz w:val="21"/>
          <w:szCs w:val="21"/>
          <w:highlight w:val="none"/>
          <w:u w:val="none"/>
          <w:lang w:val="en-US" w:eastAsia="zh-CN"/>
        </w:rPr>
        <w:t xml:space="preserve">  </w:t>
      </w:r>
      <w:r>
        <w:rPr>
          <w:rFonts w:hint="eastAsia" w:ascii="仿宋" w:hAnsi="仿宋" w:eastAsia="仿宋" w:cs="仿宋"/>
          <w:color w:val="auto"/>
          <w:sz w:val="21"/>
          <w:szCs w:val="21"/>
          <w:highlight w:val="none"/>
          <w:u w:val="none"/>
        </w:rPr>
        <w:t>   </w:t>
      </w:r>
      <w:permEnd w:id="33"/>
    </w:p>
    <w:p w14:paraId="3DF8DDBF">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479" w:leftChars="228" w:firstLine="0" w:firstLineChars="0"/>
        <w:textAlignment w:val="auto"/>
        <w:rPr>
          <w:rFonts w:hint="eastAsia" w:ascii="仿宋" w:hAnsi="仿宋" w:eastAsia="仿宋" w:cs="仿宋"/>
          <w:color w:val="auto"/>
          <w:sz w:val="21"/>
          <w:szCs w:val="21"/>
          <w:highlight w:val="none"/>
          <w:u w:val="none"/>
          <w:lang w:eastAsia="zh-CN"/>
        </w:rPr>
      </w:pPr>
      <w:r>
        <w:rPr>
          <w:rFonts w:hint="eastAsia" w:ascii="仿宋" w:hAnsi="仿宋" w:eastAsia="仿宋" w:cs="仿宋"/>
          <w:color w:val="auto"/>
          <w:sz w:val="21"/>
          <w:szCs w:val="21"/>
          <w:highlight w:val="none"/>
          <w:u w:val="none"/>
          <w:lang w:eastAsia="zh-CN"/>
        </w:rPr>
        <w:t>（</w:t>
      </w:r>
      <w:r>
        <w:rPr>
          <w:rFonts w:hint="eastAsia" w:ascii="仿宋" w:hAnsi="仿宋" w:eastAsia="仿宋" w:cs="仿宋"/>
          <w:color w:val="auto"/>
          <w:sz w:val="21"/>
          <w:szCs w:val="21"/>
          <w:highlight w:val="none"/>
          <w:u w:val="none"/>
          <w:lang w:val="en-US" w:eastAsia="zh-CN"/>
        </w:rPr>
        <w:t>2）</w:t>
      </w:r>
      <w:r>
        <w:rPr>
          <w:rFonts w:hint="eastAsia" w:ascii="仿宋" w:hAnsi="仿宋" w:eastAsia="仿宋" w:cs="仿宋"/>
          <w:color w:val="auto"/>
          <w:sz w:val="21"/>
          <w:szCs w:val="21"/>
          <w:highlight w:val="none"/>
          <w:u w:val="none"/>
        </w:rPr>
        <w:t>招标监督机构：</w:t>
      </w:r>
      <w:r>
        <w:rPr>
          <w:rFonts w:hint="eastAsia" w:ascii="仿宋" w:hAnsi="仿宋" w:eastAsia="仿宋" w:cs="仿宋"/>
          <w:color w:val="auto"/>
          <w:sz w:val="21"/>
          <w:szCs w:val="21"/>
          <w:highlight w:val="none"/>
          <w:u w:val="none"/>
          <w:lang w:eastAsia="zh-CN"/>
        </w:rPr>
        <w:t>建工水利</w:t>
      </w:r>
      <w:r>
        <w:rPr>
          <w:rFonts w:hint="eastAsia" w:ascii="仿宋" w:hAnsi="仿宋" w:eastAsia="仿宋" w:cs="仿宋"/>
          <w:color w:val="auto"/>
          <w:sz w:val="21"/>
          <w:szCs w:val="21"/>
          <w:highlight w:val="none"/>
          <w:u w:val="none"/>
        </w:rPr>
        <w:t>招标中心</w:t>
      </w:r>
    </w:p>
    <w:p w14:paraId="7C5AF534">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479" w:leftChars="228" w:firstLine="0" w:firstLineChars="0"/>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rPr>
        <w:t>地址：蚌埠市燕南路17号   </w:t>
      </w:r>
    </w:p>
    <w:p w14:paraId="238C3C1C">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firstLine="420" w:firstLineChars="200"/>
        <w:textAlignment w:val="auto"/>
        <w:rPr>
          <w:rFonts w:hint="eastAsia" w:ascii="仿宋" w:hAnsi="仿宋" w:eastAsia="仿宋" w:cs="仿宋"/>
          <w:color w:val="auto"/>
          <w:sz w:val="21"/>
          <w:szCs w:val="21"/>
          <w:highlight w:val="none"/>
          <w:u w:val="none"/>
          <w:lang w:eastAsia="zh-CN"/>
        </w:rPr>
      </w:pPr>
      <w:r>
        <w:rPr>
          <w:rFonts w:hint="eastAsia" w:ascii="仿宋" w:hAnsi="仿宋" w:eastAsia="仿宋" w:cs="仿宋"/>
          <w:color w:val="auto"/>
          <w:sz w:val="21"/>
          <w:szCs w:val="21"/>
          <w:highlight w:val="none"/>
          <w:u w:val="none"/>
        </w:rPr>
        <w:t>电话：0552-</w:t>
      </w:r>
      <w:r>
        <w:rPr>
          <w:rFonts w:hint="eastAsia" w:ascii="仿宋" w:hAnsi="仿宋" w:eastAsia="仿宋" w:cs="仿宋"/>
          <w:color w:val="auto"/>
          <w:sz w:val="21"/>
          <w:szCs w:val="21"/>
          <w:highlight w:val="none"/>
          <w:u w:val="none"/>
          <w:lang w:val="en-US" w:eastAsia="zh-CN"/>
        </w:rPr>
        <w:t>3820259</w:t>
      </w:r>
      <w:r>
        <w:rPr>
          <w:rFonts w:hint="eastAsia" w:ascii="仿宋" w:hAnsi="仿宋" w:eastAsia="仿宋" w:cs="仿宋"/>
          <w:color w:val="auto"/>
          <w:sz w:val="21"/>
          <w:szCs w:val="21"/>
          <w:highlight w:val="none"/>
          <w:u w:val="none"/>
        </w:rPr>
        <w:t>  电子邮箱：ahslzbzx@126.com </w:t>
      </w:r>
    </w:p>
    <w:p w14:paraId="3DAB2DA6">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b/>
          <w:bCs/>
          <w:color w:val="auto"/>
          <w:sz w:val="21"/>
          <w:szCs w:val="21"/>
          <w:highlight w:val="none"/>
          <w:u w:val="none"/>
          <w:lang w:eastAsia="zh-CN"/>
        </w:rPr>
      </w:pPr>
      <w:r>
        <w:rPr>
          <w:rFonts w:hint="eastAsia" w:ascii="仿宋" w:hAnsi="仿宋" w:eastAsia="仿宋" w:cs="仿宋"/>
          <w:b/>
          <w:bCs/>
          <w:color w:val="auto"/>
          <w:sz w:val="21"/>
          <w:szCs w:val="21"/>
          <w:highlight w:val="none"/>
          <w:u w:val="none"/>
        </w:rPr>
        <w:t>3.信访投诉：</w:t>
      </w:r>
    </w:p>
    <w:p w14:paraId="2A9CC15B">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eastAsia="zh-CN"/>
        </w:rPr>
      </w:pPr>
      <w:r>
        <w:rPr>
          <w:rFonts w:hint="eastAsia" w:ascii="仿宋" w:hAnsi="仿宋" w:eastAsia="仿宋" w:cs="仿宋"/>
          <w:color w:val="auto"/>
          <w:sz w:val="21"/>
          <w:szCs w:val="21"/>
          <w:highlight w:val="none"/>
          <w:u w:val="none"/>
        </w:rPr>
        <w:t>纪律监督部门：</w:t>
      </w:r>
      <w:r>
        <w:rPr>
          <w:rFonts w:hint="eastAsia" w:ascii="仿宋" w:hAnsi="仿宋" w:eastAsia="仿宋" w:cs="仿宋"/>
          <w:color w:val="auto"/>
          <w:sz w:val="21"/>
          <w:szCs w:val="21"/>
          <w:highlight w:val="none"/>
          <w:u w:val="none"/>
          <w:lang w:eastAsia="zh-CN"/>
        </w:rPr>
        <w:t>建工水利</w:t>
      </w:r>
      <w:r>
        <w:rPr>
          <w:rFonts w:hint="eastAsia" w:ascii="仿宋" w:hAnsi="仿宋" w:eastAsia="仿宋" w:cs="仿宋"/>
          <w:color w:val="auto"/>
          <w:sz w:val="21"/>
          <w:szCs w:val="21"/>
          <w:highlight w:val="none"/>
          <w:u w:val="none"/>
        </w:rPr>
        <w:t>纪检监察室</w:t>
      </w:r>
    </w:p>
    <w:p w14:paraId="4C4A5042">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lang w:eastAsia="zh-CN"/>
        </w:rPr>
      </w:pPr>
      <w:r>
        <w:rPr>
          <w:rFonts w:hint="eastAsia" w:ascii="仿宋" w:hAnsi="仿宋" w:eastAsia="仿宋" w:cs="仿宋"/>
          <w:color w:val="auto"/>
          <w:sz w:val="21"/>
          <w:szCs w:val="21"/>
          <w:highlight w:val="none"/>
          <w:u w:val="none"/>
        </w:rPr>
        <w:t>地  址：蚌埠市燕南路17号</w:t>
      </w:r>
    </w:p>
    <w:p w14:paraId="694D8DD7">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u w:val="none"/>
        </w:rPr>
      </w:pPr>
      <w:r>
        <w:rPr>
          <w:rFonts w:hint="eastAsia" w:ascii="仿宋" w:hAnsi="仿宋" w:eastAsia="仿宋" w:cs="仿宋"/>
          <w:color w:val="auto"/>
          <w:sz w:val="21"/>
          <w:szCs w:val="21"/>
          <w:highlight w:val="none"/>
          <w:u w:val="none"/>
        </w:rPr>
        <w:t>电  话：0552-3950303    电子邮箱：jiancha3950303@qq.com</w:t>
      </w:r>
    </w:p>
    <w:p w14:paraId="3F97E1F7">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b/>
          <w:bCs/>
          <w:color w:val="auto"/>
          <w:sz w:val="21"/>
          <w:szCs w:val="21"/>
          <w:highlight w:val="none"/>
          <w:u w:val="none"/>
        </w:rPr>
      </w:pPr>
      <w:r>
        <w:rPr>
          <w:rFonts w:hint="eastAsia" w:ascii="仿宋" w:hAnsi="仿宋" w:eastAsia="仿宋" w:cs="仿宋"/>
          <w:b/>
          <w:bCs/>
          <w:color w:val="auto"/>
          <w:sz w:val="21"/>
          <w:szCs w:val="21"/>
          <w:highlight w:val="none"/>
          <w:u w:val="none"/>
        </w:rPr>
        <w:t>4.招标</w:t>
      </w:r>
      <w:r>
        <w:rPr>
          <w:rFonts w:hint="eastAsia" w:ascii="仿宋" w:hAnsi="仿宋" w:eastAsia="仿宋" w:cs="仿宋"/>
          <w:b/>
          <w:bCs/>
          <w:color w:val="auto"/>
          <w:sz w:val="21"/>
          <w:szCs w:val="21"/>
          <w:highlight w:val="none"/>
          <w:u w:val="none"/>
          <w:lang w:val="en-US" w:eastAsia="zh-CN"/>
        </w:rPr>
        <w:t>信息</w:t>
      </w:r>
      <w:r>
        <w:rPr>
          <w:rFonts w:hint="eastAsia" w:ascii="仿宋" w:hAnsi="仿宋" w:eastAsia="仿宋" w:cs="仿宋"/>
          <w:b/>
          <w:bCs/>
          <w:color w:val="auto"/>
          <w:sz w:val="21"/>
          <w:szCs w:val="21"/>
          <w:highlight w:val="none"/>
          <w:u w:val="none"/>
        </w:rPr>
        <w:t>发布网址：</w:t>
      </w:r>
    </w:p>
    <w:p w14:paraId="4D643614">
      <w:pPr>
        <w:spacing w:line="360" w:lineRule="exact"/>
        <w:ind w:firstLine="420" w:firstLineChars="200"/>
        <w:rPr>
          <w:rFonts w:hint="eastAsia" w:ascii="仿宋" w:hAnsi="仿宋" w:eastAsia="仿宋" w:cs="仿宋"/>
          <w:b/>
          <w:bCs/>
          <w:color w:val="auto"/>
          <w:sz w:val="21"/>
          <w:szCs w:val="21"/>
          <w:highlight w:val="none"/>
          <w:u w:val="none"/>
        </w:rPr>
      </w:pPr>
      <w:r>
        <w:rPr>
          <w:rFonts w:hint="eastAsia" w:ascii="仿宋" w:hAnsi="仿宋" w:eastAsia="仿宋" w:cs="仿宋"/>
          <w:bCs/>
          <w:color w:val="auto"/>
          <w:sz w:val="21"/>
          <w:szCs w:val="21"/>
          <w:highlight w:val="none"/>
          <w:u w:val="none"/>
        </w:rPr>
        <w:t>安徽建工集团电子化招采平台：http</w:t>
      </w:r>
      <w:r>
        <w:rPr>
          <w:rFonts w:hint="eastAsia" w:ascii="仿宋" w:hAnsi="仿宋" w:eastAsia="仿宋" w:cs="仿宋"/>
          <w:bCs/>
          <w:color w:val="auto"/>
          <w:sz w:val="21"/>
          <w:szCs w:val="21"/>
          <w:highlight w:val="none"/>
          <w:u w:val="none"/>
          <w:lang w:val="en-US" w:eastAsia="zh-CN"/>
        </w:rPr>
        <w:t>s</w:t>
      </w:r>
      <w:r>
        <w:rPr>
          <w:rFonts w:hint="eastAsia" w:ascii="仿宋" w:hAnsi="仿宋" w:eastAsia="仿宋" w:cs="仿宋"/>
          <w:bCs/>
          <w:color w:val="auto"/>
          <w:sz w:val="21"/>
          <w:szCs w:val="21"/>
          <w:highlight w:val="none"/>
          <w:u w:val="none"/>
        </w:rPr>
        <w:t>://c</w:t>
      </w:r>
      <w:r>
        <w:rPr>
          <w:rFonts w:hint="eastAsia" w:ascii="仿宋" w:hAnsi="仿宋" w:eastAsia="仿宋" w:cs="仿宋"/>
          <w:bCs/>
          <w:color w:val="auto"/>
          <w:sz w:val="21"/>
          <w:szCs w:val="21"/>
          <w:highlight w:val="none"/>
          <w:u w:val="none"/>
          <w:lang w:eastAsia="zh-Hans"/>
        </w:rPr>
        <w:t>g</w:t>
      </w:r>
      <w:r>
        <w:rPr>
          <w:rFonts w:hint="eastAsia" w:ascii="仿宋" w:hAnsi="仿宋" w:eastAsia="仿宋" w:cs="仿宋"/>
          <w:bCs/>
          <w:color w:val="auto"/>
          <w:sz w:val="21"/>
          <w:szCs w:val="21"/>
          <w:highlight w:val="none"/>
          <w:u w:val="none"/>
        </w:rPr>
        <w:t>.aceg.com.cn/</w:t>
      </w:r>
    </w:p>
    <w:p w14:paraId="7CAEAB2E">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b/>
          <w:bCs/>
          <w:color w:val="auto"/>
          <w:sz w:val="21"/>
          <w:szCs w:val="21"/>
          <w:highlight w:val="none"/>
        </w:rPr>
      </w:pPr>
    </w:p>
    <w:p w14:paraId="77EC18B2">
      <w:pPr>
        <w:keepNext w:val="0"/>
        <w:keepLines w:val="0"/>
        <w:pageBreakBefore w:val="0"/>
        <w:tabs>
          <w:tab w:val="left" w:pos="3500"/>
        </w:tabs>
        <w:kinsoku/>
        <w:wordWrap/>
        <w:overflowPunct/>
        <w:topLinePunct w:val="0"/>
        <w:autoSpaceDE/>
        <w:autoSpaceDN/>
        <w:bidi w:val="0"/>
        <w:adjustRightInd/>
        <w:snapToGrid/>
        <w:spacing w:line="360" w:lineRule="exact"/>
        <w:jc w:val="center"/>
        <w:textAlignment w:val="auto"/>
        <w:rPr>
          <w:rFonts w:hint="eastAsia" w:ascii="仿宋" w:hAnsi="仿宋" w:eastAsia="仿宋" w:cs="仿宋"/>
          <w:b/>
          <w:color w:val="auto"/>
          <w:sz w:val="21"/>
          <w:szCs w:val="21"/>
          <w:highlight w:val="none"/>
        </w:rPr>
      </w:pPr>
    </w:p>
    <w:p w14:paraId="77DF304F">
      <w:pPr>
        <w:keepNext w:val="0"/>
        <w:keepLines w:val="0"/>
        <w:pageBreakBefore w:val="0"/>
        <w:tabs>
          <w:tab w:val="left" w:pos="3500"/>
        </w:tabs>
        <w:kinsoku/>
        <w:wordWrap/>
        <w:overflowPunct/>
        <w:topLinePunct w:val="0"/>
        <w:autoSpaceDE/>
        <w:autoSpaceDN/>
        <w:bidi w:val="0"/>
        <w:adjustRightInd/>
        <w:snapToGrid/>
        <w:spacing w:line="400" w:lineRule="exact"/>
        <w:jc w:val="center"/>
        <w:textAlignment w:val="auto"/>
        <w:rPr>
          <w:rFonts w:hint="eastAsia" w:ascii="仿宋" w:hAnsi="仿宋" w:eastAsia="仿宋" w:cs="仿宋"/>
          <w:b/>
          <w:color w:val="auto"/>
          <w:sz w:val="24"/>
          <w:szCs w:val="24"/>
          <w:highlight w:val="none"/>
        </w:rPr>
      </w:pPr>
    </w:p>
    <w:p w14:paraId="272993D4">
      <w:pPr>
        <w:tabs>
          <w:tab w:val="left" w:pos="3500"/>
        </w:tabs>
        <w:spacing w:line="440" w:lineRule="exact"/>
        <w:jc w:val="center"/>
        <w:rPr>
          <w:rFonts w:hint="eastAsia" w:ascii="仿宋" w:hAnsi="仿宋" w:eastAsia="仿宋" w:cs="仿宋"/>
          <w:b/>
          <w:color w:val="auto"/>
          <w:sz w:val="32"/>
          <w:szCs w:val="32"/>
          <w:highlight w:val="none"/>
        </w:rPr>
      </w:pPr>
    </w:p>
    <w:p w14:paraId="53E9717C">
      <w:pPr>
        <w:tabs>
          <w:tab w:val="left" w:pos="3500"/>
        </w:tabs>
        <w:spacing w:line="440" w:lineRule="exact"/>
        <w:jc w:val="center"/>
        <w:rPr>
          <w:rFonts w:hint="eastAsia" w:ascii="仿宋" w:hAnsi="仿宋" w:eastAsia="仿宋" w:cs="仿宋"/>
          <w:b/>
          <w:color w:val="auto"/>
          <w:sz w:val="32"/>
          <w:szCs w:val="32"/>
          <w:highlight w:val="none"/>
        </w:rPr>
      </w:pPr>
    </w:p>
    <w:p w14:paraId="54001636">
      <w:pPr>
        <w:pStyle w:val="9"/>
        <w:rPr>
          <w:rFonts w:hint="eastAsia"/>
        </w:rPr>
      </w:pPr>
    </w:p>
    <w:p w14:paraId="0986F9C7">
      <w:pPr>
        <w:tabs>
          <w:tab w:val="left" w:pos="3500"/>
        </w:tabs>
        <w:spacing w:line="440" w:lineRule="exact"/>
        <w:rPr>
          <w:rFonts w:hint="eastAsia" w:ascii="仿宋" w:hAnsi="仿宋" w:eastAsia="仿宋" w:cs="仿宋"/>
          <w:b/>
          <w:color w:val="auto"/>
          <w:sz w:val="32"/>
          <w:szCs w:val="32"/>
          <w:highlight w:val="none"/>
        </w:rPr>
      </w:pPr>
    </w:p>
    <w:p w14:paraId="2D47316E">
      <w:pPr>
        <w:pStyle w:val="2"/>
        <w:keepNext/>
        <w:keepLines/>
        <w:pageBreakBefore w:val="0"/>
        <w:widowControl w:val="0"/>
        <w:numPr>
          <w:ilvl w:val="0"/>
          <w:numId w:val="0"/>
        </w:numPr>
        <w:kinsoku/>
        <w:wordWrap/>
        <w:overflowPunct/>
        <w:topLinePunct w:val="0"/>
        <w:autoSpaceDE/>
        <w:autoSpaceDN/>
        <w:bidi w:val="0"/>
        <w:adjustRightInd/>
        <w:snapToGrid/>
        <w:spacing w:before="0" w:after="0" w:line="400" w:lineRule="exact"/>
        <w:jc w:val="center"/>
        <w:textAlignment w:val="auto"/>
        <w:rPr>
          <w:rFonts w:hint="eastAsia" w:ascii="Times New Roman" w:hAnsi="Times New Roman" w:eastAsia="宋体" w:cs="Times New Roman"/>
          <w:b/>
          <w:bCs/>
          <w:color w:val="auto"/>
          <w:sz w:val="32"/>
          <w:szCs w:val="32"/>
          <w:lang w:val="en-US" w:eastAsia="zh-CN"/>
        </w:rPr>
      </w:pPr>
      <w:bookmarkStart w:id="7" w:name="_Toc3067"/>
      <w:r>
        <w:rPr>
          <w:rFonts w:hint="eastAsia" w:ascii="Times New Roman" w:hAnsi="Times New Roman" w:eastAsia="宋体" w:cs="Times New Roman"/>
          <w:b/>
          <w:bCs/>
          <w:color w:val="auto"/>
          <w:sz w:val="32"/>
          <w:szCs w:val="32"/>
          <w:lang w:val="en-US" w:eastAsia="zh-CN"/>
        </w:rPr>
        <w:t>第二章 投标须知</w:t>
      </w:r>
      <w:bookmarkEnd w:id="7"/>
    </w:p>
    <w:p w14:paraId="026575DE">
      <w:pPr>
        <w:bidi w:val="0"/>
        <w:rPr>
          <w:rFonts w:hint="eastAsia"/>
          <w:color w:val="auto"/>
        </w:rPr>
      </w:pPr>
      <w:bookmarkStart w:id="8" w:name="_Toc58340073"/>
      <w:r>
        <w:rPr>
          <w:rFonts w:hint="eastAsia"/>
          <w:color w:val="auto"/>
        </w:rPr>
        <w:t>投标须知前附表</w:t>
      </w:r>
      <w:bookmarkEnd w:id="8"/>
    </w:p>
    <w:tbl>
      <w:tblPr>
        <w:tblStyle w:val="28"/>
        <w:tblW w:w="92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28" w:type="dxa"/>
          <w:bottom w:w="28" w:type="dxa"/>
          <w:right w:w="28" w:type="dxa"/>
        </w:tblCellMar>
      </w:tblPr>
      <w:tblGrid>
        <w:gridCol w:w="571"/>
        <w:gridCol w:w="1721"/>
        <w:gridCol w:w="6981"/>
      </w:tblGrid>
      <w:tr w14:paraId="00246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0C76CC2E">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136" w:leftChars="65"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序号</w:t>
            </w:r>
          </w:p>
        </w:tc>
        <w:tc>
          <w:tcPr>
            <w:tcW w:w="1721" w:type="dxa"/>
            <w:noWrap w:val="0"/>
            <w:vAlign w:val="center"/>
          </w:tcPr>
          <w:p w14:paraId="1CD95449">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136" w:leftChars="65"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内容</w:t>
            </w:r>
          </w:p>
        </w:tc>
        <w:tc>
          <w:tcPr>
            <w:tcW w:w="6981" w:type="dxa"/>
            <w:noWrap w:val="0"/>
            <w:vAlign w:val="center"/>
          </w:tcPr>
          <w:p w14:paraId="2A95F932">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说明与要求</w:t>
            </w:r>
          </w:p>
        </w:tc>
      </w:tr>
      <w:tr w14:paraId="6E9A6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370" w:hRule="atLeast"/>
          <w:jc w:val="center"/>
        </w:trPr>
        <w:tc>
          <w:tcPr>
            <w:tcW w:w="571" w:type="dxa"/>
            <w:noWrap w:val="0"/>
            <w:vAlign w:val="center"/>
          </w:tcPr>
          <w:p w14:paraId="15F7C783">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w:t>
            </w:r>
          </w:p>
        </w:tc>
        <w:tc>
          <w:tcPr>
            <w:tcW w:w="1721" w:type="dxa"/>
            <w:noWrap w:val="0"/>
            <w:vAlign w:val="center"/>
          </w:tcPr>
          <w:p w14:paraId="7A16531E">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136" w:leftChars="65"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招标范围</w:t>
            </w:r>
          </w:p>
        </w:tc>
        <w:tc>
          <w:tcPr>
            <w:tcW w:w="6981" w:type="dxa"/>
            <w:noWrap w:val="0"/>
            <w:vAlign w:val="center"/>
          </w:tcPr>
          <w:p w14:paraId="1F1998A8">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bCs/>
                <w:color w:val="auto"/>
                <w:kern w:val="0"/>
                <w:sz w:val="21"/>
                <w:szCs w:val="21"/>
                <w:highlight w:val="none"/>
              </w:rPr>
              <w:t>招</w:t>
            </w:r>
            <w:r>
              <w:rPr>
                <w:rFonts w:hint="eastAsia" w:ascii="仿宋" w:hAnsi="仿宋" w:eastAsia="仿宋" w:cs="仿宋"/>
                <w:color w:val="auto"/>
                <w:sz w:val="21"/>
                <w:szCs w:val="21"/>
                <w:highlight w:val="none"/>
              </w:rPr>
              <w:t>标文件、工程量清单、图纸以及补充答疑文件规定的全部内容。</w:t>
            </w:r>
          </w:p>
        </w:tc>
      </w:tr>
      <w:tr w14:paraId="1CD5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529" w:hRule="atLeast"/>
          <w:jc w:val="center"/>
        </w:trPr>
        <w:tc>
          <w:tcPr>
            <w:tcW w:w="571" w:type="dxa"/>
            <w:noWrap w:val="0"/>
            <w:vAlign w:val="center"/>
          </w:tcPr>
          <w:p w14:paraId="73F91690">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w:t>
            </w:r>
          </w:p>
        </w:tc>
        <w:tc>
          <w:tcPr>
            <w:tcW w:w="1721" w:type="dxa"/>
            <w:noWrap w:val="0"/>
            <w:vAlign w:val="center"/>
          </w:tcPr>
          <w:p w14:paraId="45C62F93">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136" w:leftChars="65"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招标控制价</w:t>
            </w:r>
          </w:p>
        </w:tc>
        <w:tc>
          <w:tcPr>
            <w:tcW w:w="6981" w:type="dxa"/>
            <w:noWrap w:val="0"/>
            <w:vAlign w:val="center"/>
          </w:tcPr>
          <w:p w14:paraId="26D909F4">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94" w:rightChars="45"/>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招标控制价</w:t>
            </w:r>
            <w:permStart w:id="34" w:edGrp="everyone"/>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1440000</w:t>
            </w:r>
            <w:r>
              <w:rPr>
                <w:rFonts w:hint="eastAsia" w:ascii="仿宋" w:hAnsi="仿宋" w:eastAsia="仿宋" w:cs="仿宋"/>
                <w:color w:val="auto"/>
                <w:sz w:val="21"/>
                <w:szCs w:val="21"/>
                <w:highlight w:val="none"/>
                <w:u w:val="single"/>
              </w:rPr>
              <w:t xml:space="preserve">元 </w:t>
            </w:r>
            <w:permEnd w:id="34"/>
            <w:r>
              <w:rPr>
                <w:rFonts w:hint="eastAsia" w:ascii="仿宋" w:hAnsi="仿宋" w:eastAsia="仿宋" w:cs="仿宋"/>
                <w:color w:val="auto"/>
                <w:sz w:val="21"/>
                <w:szCs w:val="21"/>
                <w:highlight w:val="none"/>
              </w:rPr>
              <w:t>（含税，税率为</w:t>
            </w:r>
            <w:permStart w:id="35" w:edGrp="everyone"/>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13</w:t>
            </w:r>
            <w:r>
              <w:rPr>
                <w:rFonts w:hint="eastAsia" w:ascii="仿宋" w:hAnsi="仿宋" w:eastAsia="仿宋" w:cs="仿宋"/>
                <w:color w:val="auto"/>
                <w:sz w:val="21"/>
                <w:szCs w:val="21"/>
                <w:highlight w:val="none"/>
                <w:u w:val="single"/>
              </w:rPr>
              <w:t xml:space="preserve">  </w:t>
            </w:r>
            <w:permEnd w:id="35"/>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eastAsia="zh-CN"/>
              </w:rPr>
              <w:t>若税率不同，投标人税前价不得超过税前控制价，</w:t>
            </w:r>
            <w:r>
              <w:rPr>
                <w:rFonts w:hint="eastAsia" w:ascii="仿宋" w:hAnsi="仿宋" w:eastAsia="仿宋" w:cs="仿宋"/>
                <w:color w:val="auto"/>
                <w:sz w:val="21"/>
                <w:szCs w:val="21"/>
                <w:highlight w:val="none"/>
              </w:rPr>
              <w:t>投标报价高于招标控制价的投标按无效标处理。</w:t>
            </w:r>
          </w:p>
        </w:tc>
      </w:tr>
      <w:tr w14:paraId="3CAE8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1135" w:hRule="atLeast"/>
          <w:jc w:val="center"/>
        </w:trPr>
        <w:tc>
          <w:tcPr>
            <w:tcW w:w="571" w:type="dxa"/>
            <w:noWrap w:val="0"/>
            <w:vAlign w:val="center"/>
          </w:tcPr>
          <w:p w14:paraId="7AC6518A">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w:t>
            </w:r>
          </w:p>
        </w:tc>
        <w:tc>
          <w:tcPr>
            <w:tcW w:w="1721" w:type="dxa"/>
            <w:noWrap w:val="0"/>
            <w:vAlign w:val="center"/>
          </w:tcPr>
          <w:p w14:paraId="69B24897">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136" w:leftChars="65"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标段划分</w:t>
            </w:r>
          </w:p>
        </w:tc>
        <w:tc>
          <w:tcPr>
            <w:tcW w:w="6981" w:type="dxa"/>
            <w:noWrap w:val="0"/>
            <w:vAlign w:val="center"/>
          </w:tcPr>
          <w:p w14:paraId="7EBAF2F1">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94" w:rightChars="45"/>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permStart w:id="36" w:edGrp="everyone"/>
            <w:r>
              <w:rPr>
                <w:rFonts w:hint="eastAsia" w:ascii="仿宋" w:hAnsi="仿宋" w:eastAsia="仿宋" w:cs="仿宋"/>
                <w:color w:val="auto"/>
                <w:sz w:val="21"/>
                <w:szCs w:val="21"/>
                <w:highlight w:val="none"/>
              </w:rPr>
              <w:t>本次招标分为</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1</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个标段，拟选择</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 xml:space="preserve">1 </w:t>
            </w:r>
            <w:r>
              <w:rPr>
                <w:rFonts w:hint="eastAsia" w:ascii="仿宋" w:hAnsi="仿宋" w:eastAsia="仿宋" w:cs="仿宋"/>
                <w:color w:val="auto"/>
                <w:sz w:val="21"/>
                <w:szCs w:val="21"/>
                <w:highlight w:val="none"/>
              </w:rPr>
              <w:t>个中标人。</w:t>
            </w:r>
            <w:permEnd w:id="36"/>
            <w:r>
              <w:rPr>
                <w:rFonts w:hint="eastAsia" w:ascii="仿宋" w:hAnsi="仿宋" w:eastAsia="仿宋" w:cs="仿宋"/>
                <w:color w:val="auto"/>
                <w:sz w:val="21"/>
                <w:szCs w:val="21"/>
                <w:highlight w:val="none"/>
              </w:rPr>
              <w:t>。</w:t>
            </w:r>
          </w:p>
        </w:tc>
      </w:tr>
      <w:tr w14:paraId="1CE16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50EA95F2">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4</w:t>
            </w:r>
          </w:p>
        </w:tc>
        <w:tc>
          <w:tcPr>
            <w:tcW w:w="1721" w:type="dxa"/>
            <w:noWrap w:val="0"/>
            <w:vAlign w:val="center"/>
          </w:tcPr>
          <w:p w14:paraId="132AB0DF">
            <w:pPr>
              <w:keepNext w:val="0"/>
              <w:keepLines w:val="0"/>
              <w:pageBreakBefore w:val="0"/>
              <w:widowControl w:val="0"/>
              <w:kinsoku/>
              <w:wordWrap/>
              <w:overflowPunct/>
              <w:topLinePunct w:val="0"/>
              <w:bidi w:val="0"/>
              <w:spacing w:line="26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计税方式</w:t>
            </w:r>
          </w:p>
        </w:tc>
        <w:tc>
          <w:tcPr>
            <w:tcW w:w="6981" w:type="dxa"/>
            <w:noWrap w:val="0"/>
            <w:vAlign w:val="center"/>
          </w:tcPr>
          <w:p w14:paraId="741F4430">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提供增值税专用发票，若投标税率不同，招标人有权进行评标价折算</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 xml:space="preserve">     </w:t>
            </w:r>
            <w:r>
              <w:rPr>
                <w:rFonts w:hint="eastAsia" w:ascii="仿宋" w:hAnsi="仿宋" w:eastAsia="仿宋" w:cs="仿宋"/>
                <w:color w:val="auto"/>
                <w:kern w:val="0"/>
                <w:sz w:val="21"/>
                <w:szCs w:val="21"/>
                <w:highlight w:val="none"/>
              </w:rPr>
              <w:t>评标价=不含税报价-城市维护建设税和教育费附加。</w:t>
            </w:r>
            <w:permStart w:id="37" w:edGrp="everyone"/>
            <w:permEnd w:id="37"/>
          </w:p>
        </w:tc>
      </w:tr>
      <w:tr w14:paraId="447C1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4A939EA8">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w:t>
            </w:r>
          </w:p>
        </w:tc>
        <w:tc>
          <w:tcPr>
            <w:tcW w:w="1721" w:type="dxa"/>
            <w:noWrap w:val="0"/>
            <w:vAlign w:val="center"/>
          </w:tcPr>
          <w:p w14:paraId="3349AF10">
            <w:pPr>
              <w:keepNext w:val="0"/>
              <w:keepLines w:val="0"/>
              <w:pageBreakBefore w:val="0"/>
              <w:widowControl w:val="0"/>
              <w:kinsoku/>
              <w:wordWrap/>
              <w:overflowPunct/>
              <w:topLinePunct w:val="0"/>
              <w:bidi w:val="0"/>
              <w:spacing w:line="26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计价方式</w:t>
            </w:r>
          </w:p>
        </w:tc>
        <w:tc>
          <w:tcPr>
            <w:tcW w:w="6981" w:type="dxa"/>
            <w:noWrap w:val="0"/>
            <w:vAlign w:val="center"/>
          </w:tcPr>
          <w:p w14:paraId="24EA41DC">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工程量清单综合单价计价法 </w:t>
            </w:r>
            <w:permStart w:id="38" w:edGrp="everyone"/>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 xml:space="preserve"> </w:t>
            </w:r>
            <w:permEnd w:id="38"/>
            <w:r>
              <w:rPr>
                <w:rFonts w:hint="eastAsia" w:ascii="仿宋" w:hAnsi="仿宋" w:eastAsia="仿宋" w:cs="仿宋"/>
                <w:color w:val="auto"/>
                <w:sz w:val="21"/>
                <w:szCs w:val="21"/>
                <w:highlight w:val="none"/>
              </w:rPr>
              <w:t xml:space="preserve">  综合费率计价法</w:t>
            </w:r>
            <w:permStart w:id="39" w:edGrp="everyone"/>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eastAsia="zh-CN"/>
              </w:rPr>
              <w:t>□</w:t>
            </w:r>
            <w:permEnd w:id="39"/>
          </w:p>
        </w:tc>
      </w:tr>
      <w:tr w14:paraId="3778C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3641E649">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w:t>
            </w:r>
          </w:p>
        </w:tc>
        <w:tc>
          <w:tcPr>
            <w:tcW w:w="1721" w:type="dxa"/>
            <w:noWrap w:val="0"/>
            <w:vAlign w:val="center"/>
          </w:tcPr>
          <w:p w14:paraId="2FD5DD7E">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踏勘现场</w:t>
            </w:r>
          </w:p>
        </w:tc>
        <w:tc>
          <w:tcPr>
            <w:tcW w:w="6981" w:type="dxa"/>
            <w:noWrap w:val="0"/>
            <w:vAlign w:val="center"/>
          </w:tcPr>
          <w:p w14:paraId="60B62577">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不组织踏勘现场。请投标人自行踏勘现场，</w:t>
            </w:r>
            <w:permStart w:id="40" w:edGrp="everyone"/>
            <w:permEnd w:id="40"/>
            <w:r>
              <w:rPr>
                <w:rFonts w:hint="eastAsia" w:ascii="仿宋" w:hAnsi="仿宋" w:eastAsia="仿宋" w:cs="仿宋"/>
                <w:color w:val="auto"/>
                <w:sz w:val="21"/>
                <w:szCs w:val="21"/>
                <w:highlight w:val="none"/>
              </w:rPr>
              <w:t>所产生的费用由投标人自理，并对其安全自行承担责任。凡参加投标，无论投标人是否踏勘现场，均视同其已踏勘。</w:t>
            </w:r>
          </w:p>
        </w:tc>
      </w:tr>
      <w:tr w14:paraId="016D5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1058" w:hRule="atLeast"/>
          <w:jc w:val="center"/>
        </w:trPr>
        <w:tc>
          <w:tcPr>
            <w:tcW w:w="571" w:type="dxa"/>
            <w:noWrap w:val="0"/>
            <w:vAlign w:val="center"/>
          </w:tcPr>
          <w:p w14:paraId="26F3CD1F">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7</w:t>
            </w:r>
          </w:p>
        </w:tc>
        <w:tc>
          <w:tcPr>
            <w:tcW w:w="1721" w:type="dxa"/>
            <w:noWrap w:val="0"/>
            <w:vAlign w:val="center"/>
          </w:tcPr>
          <w:p w14:paraId="1FCD4BBA">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183" w:rightChars="87"/>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投标人提出问题的截止时间</w:t>
            </w:r>
          </w:p>
        </w:tc>
        <w:tc>
          <w:tcPr>
            <w:tcW w:w="6981" w:type="dxa"/>
            <w:noWrap w:val="0"/>
            <w:vAlign w:val="center"/>
          </w:tcPr>
          <w:p w14:paraId="55C6E67D">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permStart w:id="41" w:edGrp="everyone"/>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2025</w:t>
            </w:r>
            <w:r>
              <w:rPr>
                <w:rFonts w:hint="eastAsia" w:ascii="仿宋" w:hAnsi="仿宋" w:eastAsia="仿宋" w:cs="仿宋"/>
                <w:color w:val="auto"/>
                <w:sz w:val="21"/>
                <w:szCs w:val="21"/>
                <w:highlight w:val="none"/>
              </w:rPr>
              <w:t>年</w:t>
            </w:r>
            <w:r>
              <w:rPr>
                <w:rFonts w:hint="eastAsia" w:ascii="仿宋" w:hAnsi="仿宋" w:eastAsia="仿宋" w:cs="仿宋"/>
                <w:color w:val="auto"/>
                <w:sz w:val="21"/>
                <w:szCs w:val="21"/>
                <w:highlight w:val="none"/>
                <w:u w:val="single"/>
                <w:lang w:val="en-US" w:eastAsia="zh-CN"/>
              </w:rPr>
              <w:t>10</w:t>
            </w:r>
            <w:r>
              <w:rPr>
                <w:rFonts w:hint="eastAsia" w:ascii="仿宋" w:hAnsi="仿宋" w:eastAsia="仿宋" w:cs="仿宋"/>
                <w:color w:val="auto"/>
                <w:sz w:val="21"/>
                <w:szCs w:val="21"/>
                <w:highlight w:val="none"/>
              </w:rPr>
              <w:t>月</w:t>
            </w:r>
            <w:r>
              <w:rPr>
                <w:rFonts w:hint="eastAsia" w:ascii="仿宋" w:hAnsi="仿宋" w:eastAsia="仿宋" w:cs="仿宋"/>
                <w:color w:val="auto"/>
                <w:sz w:val="21"/>
                <w:szCs w:val="21"/>
                <w:highlight w:val="none"/>
                <w:u w:val="single"/>
                <w:lang w:val="en-US" w:eastAsia="zh-CN"/>
              </w:rPr>
              <w:t>24</w:t>
            </w:r>
            <w:bookmarkStart w:id="164" w:name="_GoBack"/>
            <w:bookmarkEnd w:id="164"/>
            <w:r>
              <w:rPr>
                <w:rFonts w:hint="eastAsia" w:ascii="仿宋" w:hAnsi="仿宋" w:eastAsia="仿宋" w:cs="仿宋"/>
                <w:color w:val="auto"/>
                <w:sz w:val="21"/>
                <w:szCs w:val="21"/>
                <w:highlight w:val="none"/>
              </w:rPr>
              <w:t>日</w:t>
            </w:r>
            <w:r>
              <w:rPr>
                <w:rFonts w:hint="eastAsia" w:ascii="仿宋" w:hAnsi="仿宋" w:eastAsia="仿宋" w:cs="仿宋"/>
                <w:color w:val="auto"/>
                <w:sz w:val="21"/>
                <w:szCs w:val="21"/>
                <w:highlight w:val="none"/>
                <w:u w:val="single"/>
                <w:lang w:val="en-US" w:eastAsia="zh-CN"/>
              </w:rPr>
              <w:t>12</w:t>
            </w:r>
            <w:r>
              <w:rPr>
                <w:rFonts w:hint="eastAsia" w:ascii="仿宋" w:hAnsi="仿宋" w:eastAsia="仿宋" w:cs="仿宋"/>
                <w:color w:val="auto"/>
                <w:sz w:val="21"/>
                <w:szCs w:val="21"/>
                <w:highlight w:val="none"/>
              </w:rPr>
              <w:t>时</w:t>
            </w:r>
            <w:permEnd w:id="41"/>
            <w:r>
              <w:rPr>
                <w:rFonts w:hint="eastAsia" w:ascii="仿宋" w:hAnsi="仿宋" w:eastAsia="仿宋" w:cs="仿宋"/>
                <w:color w:val="auto"/>
                <w:sz w:val="21"/>
                <w:szCs w:val="21"/>
                <w:highlight w:val="none"/>
              </w:rPr>
              <w:t>。投标人未在规定时间内提出需要招标人澄清或答疑的，视同对招标文件全部内容的知晓、理解和接受，开标后不得就招标文件所列内容提出质疑、投诉等；</w:t>
            </w:r>
            <w:r>
              <w:rPr>
                <w:rFonts w:hint="eastAsia" w:ascii="仿宋" w:hAnsi="仿宋" w:eastAsia="仿宋" w:cs="仿宋"/>
                <w:color w:val="auto"/>
                <w:kern w:val="0"/>
                <w:sz w:val="21"/>
                <w:szCs w:val="21"/>
                <w:highlight w:val="none"/>
              </w:rPr>
              <w:t>中标后签订合同时和履约过程中，也不得以未深入研究招标文件为由提出任何形式的增加合同价款或索赔的要求</w:t>
            </w:r>
            <w:r>
              <w:rPr>
                <w:rFonts w:hint="eastAsia" w:ascii="仿宋" w:hAnsi="仿宋" w:eastAsia="仿宋" w:cs="仿宋"/>
                <w:color w:val="auto"/>
                <w:sz w:val="21"/>
                <w:szCs w:val="21"/>
                <w:highlight w:val="none"/>
              </w:rPr>
              <w:t>。</w:t>
            </w:r>
            <w:r>
              <w:rPr>
                <w:rFonts w:hint="eastAsia" w:ascii="仿宋" w:hAnsi="仿宋" w:eastAsia="仿宋" w:cs="仿宋"/>
                <w:color w:val="auto"/>
                <w:kern w:val="0"/>
                <w:sz w:val="21"/>
                <w:szCs w:val="21"/>
                <w:highlight w:val="none"/>
              </w:rPr>
              <w:t>所有潜在投标人在投标截止时间前有义务在招采平台自行查询</w:t>
            </w:r>
            <w:r>
              <w:rPr>
                <w:rFonts w:hint="eastAsia" w:ascii="仿宋" w:hAnsi="仿宋" w:eastAsia="仿宋" w:cs="仿宋"/>
                <w:color w:val="auto"/>
                <w:kern w:val="0"/>
                <w:sz w:val="21"/>
                <w:szCs w:val="21"/>
                <w:highlight w:val="none"/>
                <w:lang w:val="en-US" w:eastAsia="zh-CN"/>
              </w:rPr>
              <w:t>答疑补疑</w:t>
            </w:r>
            <w:r>
              <w:rPr>
                <w:rFonts w:hint="eastAsia" w:ascii="仿宋" w:hAnsi="仿宋" w:eastAsia="仿宋" w:cs="仿宋"/>
                <w:color w:val="auto"/>
                <w:kern w:val="0"/>
                <w:sz w:val="21"/>
                <w:szCs w:val="21"/>
                <w:highlight w:val="none"/>
              </w:rPr>
              <w:t>。</w:t>
            </w:r>
          </w:p>
        </w:tc>
      </w:tr>
      <w:tr w14:paraId="63EBE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330" w:hRule="atLeast"/>
          <w:jc w:val="center"/>
        </w:trPr>
        <w:tc>
          <w:tcPr>
            <w:tcW w:w="571" w:type="dxa"/>
            <w:noWrap w:val="0"/>
            <w:vAlign w:val="center"/>
          </w:tcPr>
          <w:p w14:paraId="17D2873D">
            <w:pPr>
              <w:keepNext w:val="0"/>
              <w:keepLines w:val="0"/>
              <w:pageBreakBefore w:val="0"/>
              <w:widowControl w:val="0"/>
              <w:kinsoku/>
              <w:wordWrap/>
              <w:overflowPunct/>
              <w:topLinePunct w:val="0"/>
              <w:autoSpaceDE w:val="0"/>
              <w:autoSpaceDN w:val="0"/>
              <w:bidi w:val="0"/>
              <w:adjustRightInd w:val="0"/>
              <w:spacing w:line="260" w:lineRule="exact"/>
              <w:ind w:left="90" w:leftChars="43" w:right="94" w:rightChars="45"/>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8</w:t>
            </w:r>
          </w:p>
        </w:tc>
        <w:tc>
          <w:tcPr>
            <w:tcW w:w="1721" w:type="dxa"/>
            <w:noWrap w:val="0"/>
            <w:vAlign w:val="center"/>
          </w:tcPr>
          <w:p w14:paraId="403FA543">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183" w:rightChars="87"/>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投标有效期</w:t>
            </w:r>
          </w:p>
        </w:tc>
        <w:tc>
          <w:tcPr>
            <w:tcW w:w="6981" w:type="dxa"/>
            <w:noWrap w:val="0"/>
            <w:vAlign w:val="center"/>
          </w:tcPr>
          <w:p w14:paraId="3B507230">
            <w:pPr>
              <w:keepNext w:val="0"/>
              <w:keepLines w:val="0"/>
              <w:pageBreakBefore w:val="0"/>
              <w:widowControl w:val="0"/>
              <w:kinsoku/>
              <w:wordWrap/>
              <w:overflowPunct/>
              <w:topLinePunct w:val="0"/>
              <w:bidi w:val="0"/>
              <w:snapToGrid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投标截止时间后</w:t>
            </w:r>
            <w:r>
              <w:rPr>
                <w:rFonts w:hint="eastAsia" w:ascii="仿宋" w:hAnsi="仿宋" w:eastAsia="仿宋" w:cs="仿宋"/>
                <w:color w:val="auto"/>
                <w:sz w:val="21"/>
                <w:szCs w:val="21"/>
                <w:highlight w:val="none"/>
                <w:u w:val="single"/>
              </w:rPr>
              <w:t>90</w:t>
            </w:r>
            <w:r>
              <w:rPr>
                <w:rFonts w:hint="eastAsia" w:ascii="仿宋" w:hAnsi="仿宋" w:eastAsia="仿宋" w:cs="仿宋"/>
                <w:color w:val="auto"/>
                <w:sz w:val="21"/>
                <w:szCs w:val="21"/>
                <w:highlight w:val="none"/>
              </w:rPr>
              <w:t>天内</w:t>
            </w:r>
          </w:p>
        </w:tc>
      </w:tr>
      <w:tr w14:paraId="7BE4B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1757" w:hRule="atLeast"/>
          <w:jc w:val="center"/>
        </w:trPr>
        <w:tc>
          <w:tcPr>
            <w:tcW w:w="571" w:type="dxa"/>
            <w:noWrap w:val="0"/>
            <w:vAlign w:val="center"/>
          </w:tcPr>
          <w:p w14:paraId="4FC3795B">
            <w:pPr>
              <w:keepNext w:val="0"/>
              <w:keepLines w:val="0"/>
              <w:pageBreakBefore w:val="0"/>
              <w:widowControl w:val="0"/>
              <w:kinsoku/>
              <w:wordWrap/>
              <w:overflowPunct/>
              <w:topLinePunct w:val="0"/>
              <w:autoSpaceDE w:val="0"/>
              <w:autoSpaceDN w:val="0"/>
              <w:bidi w:val="0"/>
              <w:adjustRightInd w:val="0"/>
              <w:spacing w:line="260" w:lineRule="exact"/>
              <w:ind w:left="90" w:leftChars="43" w:right="94" w:rightChars="45"/>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9</w:t>
            </w:r>
          </w:p>
        </w:tc>
        <w:tc>
          <w:tcPr>
            <w:tcW w:w="1721" w:type="dxa"/>
            <w:noWrap w:val="0"/>
            <w:vAlign w:val="center"/>
          </w:tcPr>
          <w:p w14:paraId="160EE47F">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投标保证金</w:t>
            </w:r>
          </w:p>
        </w:tc>
        <w:tc>
          <w:tcPr>
            <w:tcW w:w="6981" w:type="dxa"/>
            <w:noWrap w:val="0"/>
            <w:vAlign w:val="center"/>
          </w:tcPr>
          <w:p w14:paraId="49B524C1">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b w:val="0"/>
                <w:bCs w:val="0"/>
                <w:color w:val="auto"/>
                <w:sz w:val="21"/>
                <w:szCs w:val="21"/>
                <w:highlight w:val="none"/>
              </w:rPr>
            </w:pP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投标保证金</w:t>
            </w:r>
            <w:r>
              <w:rPr>
                <w:rFonts w:hint="eastAsia" w:ascii="仿宋" w:hAnsi="仿宋" w:eastAsia="仿宋" w:cs="仿宋"/>
                <w:color w:val="auto"/>
                <w:sz w:val="21"/>
                <w:szCs w:val="21"/>
                <w:highlight w:val="none"/>
                <w:lang w:val="en-US" w:eastAsia="zh-CN"/>
              </w:rPr>
              <w:t>为</w:t>
            </w:r>
            <w:permStart w:id="42" w:edGrp="everyone"/>
            <w:r>
              <w:rPr>
                <w:rFonts w:hint="eastAsia" w:ascii="仿宋" w:hAnsi="仿宋" w:eastAsia="仿宋" w:cs="仿宋"/>
                <w:color w:val="auto"/>
                <w:sz w:val="21"/>
                <w:szCs w:val="21"/>
                <w:highlight w:val="none"/>
                <w:u w:val="none"/>
              </w:rPr>
              <w:t>人民币</w:t>
            </w:r>
            <w:r>
              <w:rPr>
                <w:rFonts w:hint="eastAsia" w:ascii="仿宋" w:hAnsi="仿宋" w:eastAsia="仿宋" w:cs="仿宋"/>
                <w:color w:val="auto"/>
                <w:sz w:val="21"/>
                <w:szCs w:val="21"/>
                <w:highlight w:val="none"/>
                <w:u w:val="none"/>
                <w:lang w:val="en-US" w:eastAsia="zh-CN"/>
              </w:rPr>
              <w:t>贰万元</w:t>
            </w:r>
            <w:r>
              <w:rPr>
                <w:rFonts w:hint="eastAsia" w:ascii="仿宋" w:hAnsi="仿宋" w:eastAsia="仿宋" w:cs="仿宋"/>
                <w:b/>
                <w:bCs/>
                <w:color w:val="auto"/>
                <w:sz w:val="21"/>
                <w:szCs w:val="21"/>
                <w:highlight w:val="none"/>
                <w:u w:val="none"/>
                <w:lang w:val="en-US" w:eastAsia="zh-CN" w:bidi="ar"/>
              </w:rPr>
              <w:t>（¥：</w:t>
            </w:r>
            <w:r>
              <w:rPr>
                <w:rFonts w:hint="eastAsia" w:ascii="仿宋" w:hAnsi="仿宋" w:eastAsia="仿宋" w:cs="仿宋"/>
                <w:color w:val="auto"/>
                <w:sz w:val="21"/>
                <w:szCs w:val="21"/>
                <w:highlight w:val="none"/>
                <w:u w:val="none"/>
                <w:lang w:val="en-US" w:eastAsia="zh-CN"/>
              </w:rPr>
              <w:t>20000.00</w:t>
            </w:r>
            <w:r>
              <w:rPr>
                <w:rFonts w:hint="eastAsia" w:ascii="仿宋" w:hAnsi="仿宋" w:eastAsia="仿宋" w:cs="仿宋"/>
                <w:b/>
                <w:bCs/>
                <w:color w:val="auto"/>
                <w:sz w:val="21"/>
                <w:szCs w:val="21"/>
                <w:highlight w:val="none"/>
                <w:u w:val="none"/>
                <w:lang w:val="en-US" w:eastAsia="zh-CN" w:bidi="ar"/>
              </w:rPr>
              <w:t>）</w:t>
            </w:r>
            <w:permEnd w:id="42"/>
            <w:r>
              <w:rPr>
                <w:rFonts w:hint="eastAsia" w:ascii="仿宋" w:hAnsi="仿宋" w:eastAsia="仿宋" w:cs="仿宋"/>
                <w:b/>
                <w:bCs/>
                <w:color w:val="auto"/>
                <w:sz w:val="21"/>
                <w:szCs w:val="21"/>
                <w:highlight w:val="none"/>
                <w:u w:val="none"/>
                <w:lang w:val="en-US" w:eastAsia="zh-CN" w:bidi="ar"/>
              </w:rPr>
              <w:t xml:space="preserve"> ，</w:t>
            </w:r>
            <w:r>
              <w:rPr>
                <w:rFonts w:hint="eastAsia" w:ascii="仿宋" w:hAnsi="仿宋" w:eastAsia="仿宋" w:cs="仿宋"/>
                <w:color w:val="auto"/>
                <w:sz w:val="21"/>
                <w:szCs w:val="21"/>
                <w:highlight w:val="none"/>
                <w:lang w:val="en-US" w:eastAsia="zh-CN"/>
              </w:rPr>
              <w:t>招标项目为</w:t>
            </w:r>
            <w:r>
              <w:rPr>
                <w:rFonts w:hint="eastAsia" w:ascii="仿宋" w:hAnsi="仿宋" w:eastAsia="仿宋" w:cs="仿宋"/>
                <w:color w:val="auto"/>
                <w:sz w:val="21"/>
                <w:szCs w:val="21"/>
                <w:highlight w:val="none"/>
              </w:rPr>
              <w:t>多标段，投标人同时投标两个及以上标段时，投标保证金不需重复缴纳。</w:t>
            </w:r>
            <w:r>
              <w:rPr>
                <w:rFonts w:hint="eastAsia" w:ascii="仿宋" w:hAnsi="仿宋" w:eastAsia="仿宋" w:cs="仿宋"/>
                <w:b w:val="0"/>
                <w:bCs w:val="0"/>
                <w:color w:val="auto"/>
                <w:sz w:val="21"/>
                <w:szCs w:val="21"/>
                <w:highlight w:val="none"/>
                <w:lang w:val="en-US" w:eastAsia="zh-CN"/>
              </w:rPr>
              <w:t>投标人转帐的帐号必须与招采平台注册时预留的帐号一致，否则系统无法查询到帐，无法上传投标文件。缴纳方式：电脑在线划转，手机划转，柜台划转（注：不允许通过现金直接存入）</w:t>
            </w:r>
          </w:p>
          <w:p w14:paraId="4B83EAB3">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lang w:val="en-US"/>
              </w:rPr>
            </w:pP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投标保证金</w:t>
            </w:r>
            <w:r>
              <w:rPr>
                <w:rFonts w:hint="eastAsia" w:ascii="仿宋" w:hAnsi="仿宋" w:eastAsia="仿宋" w:cs="仿宋"/>
                <w:color w:val="auto"/>
                <w:sz w:val="21"/>
                <w:szCs w:val="21"/>
                <w:highlight w:val="none"/>
                <w:lang w:val="en-US" w:eastAsia="zh-CN"/>
              </w:rPr>
              <w:t>转入</w:t>
            </w:r>
            <w:r>
              <w:rPr>
                <w:rFonts w:hint="eastAsia" w:ascii="仿宋" w:hAnsi="仿宋" w:eastAsia="仿宋" w:cs="仿宋"/>
                <w:color w:val="auto"/>
                <w:sz w:val="21"/>
                <w:szCs w:val="21"/>
                <w:highlight w:val="none"/>
              </w:rPr>
              <w:t>账</w:t>
            </w:r>
            <w:r>
              <w:rPr>
                <w:rFonts w:hint="eastAsia" w:ascii="仿宋" w:hAnsi="仿宋" w:eastAsia="仿宋" w:cs="仿宋"/>
                <w:color w:val="auto"/>
                <w:sz w:val="21"/>
                <w:szCs w:val="21"/>
                <w:highlight w:val="none"/>
                <w:lang w:val="en-US" w:eastAsia="zh-CN"/>
              </w:rPr>
              <w:t>号</w:t>
            </w:r>
            <w:r>
              <w:rPr>
                <w:rFonts w:hint="eastAsia" w:ascii="仿宋" w:hAnsi="仿宋" w:eastAsia="仿宋" w:cs="仿宋"/>
                <w:color w:val="auto"/>
                <w:sz w:val="21"/>
                <w:szCs w:val="21"/>
                <w:highlight w:val="none"/>
              </w:rPr>
              <w:t>：</w:t>
            </w:r>
            <w:r>
              <w:rPr>
                <w:rFonts w:hint="eastAsia" w:ascii="仿宋" w:hAnsi="仿宋" w:eastAsia="仿宋" w:cs="仿宋"/>
                <w:b w:val="0"/>
                <w:bCs w:val="0"/>
                <w:color w:val="auto"/>
                <w:sz w:val="21"/>
                <w:szCs w:val="21"/>
                <w:highlight w:val="none"/>
                <w:lang w:val="en-US" w:eastAsia="zh-CN"/>
              </w:rPr>
              <w:t xml:space="preserve"> 在招采平台缴纳时自动匹配</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val="en-US" w:eastAsia="zh-CN"/>
              </w:rPr>
              <w:t xml:space="preserve">           </w:t>
            </w:r>
            <w:r>
              <w:rPr>
                <w:rFonts w:hint="eastAsia" w:ascii="仿宋" w:hAnsi="仿宋" w:eastAsia="仿宋" w:cs="仿宋"/>
                <w:color w:val="auto"/>
                <w:sz w:val="21"/>
                <w:szCs w:val="21"/>
                <w:highlight w:val="none"/>
              </w:rPr>
              <w:t xml:space="preserve">                 </w:t>
            </w:r>
          </w:p>
        </w:tc>
      </w:tr>
      <w:tr w14:paraId="51D53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318" w:hRule="atLeast"/>
          <w:jc w:val="center"/>
        </w:trPr>
        <w:tc>
          <w:tcPr>
            <w:tcW w:w="571" w:type="dxa"/>
            <w:noWrap w:val="0"/>
            <w:vAlign w:val="center"/>
          </w:tcPr>
          <w:p w14:paraId="004A12BB">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val="en-US" w:eastAsia="zh-CN" w:bidi="ar-SA"/>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0</w:t>
            </w:r>
          </w:p>
        </w:tc>
        <w:tc>
          <w:tcPr>
            <w:tcW w:w="1721" w:type="dxa"/>
            <w:noWrap w:val="0"/>
            <w:vAlign w:val="center"/>
          </w:tcPr>
          <w:p w14:paraId="5C2A979B">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spacing w:val="6"/>
                <w:kern w:val="2"/>
                <w:sz w:val="21"/>
                <w:szCs w:val="21"/>
                <w:highlight w:val="none"/>
                <w:lang w:val="en-US" w:eastAsia="zh-CN" w:bidi="ar-SA"/>
              </w:rPr>
            </w:pPr>
            <w:r>
              <w:rPr>
                <w:rFonts w:hint="eastAsia" w:ascii="仿宋" w:hAnsi="仿宋" w:eastAsia="仿宋" w:cs="仿宋"/>
                <w:color w:val="auto"/>
                <w:spacing w:val="6"/>
                <w:sz w:val="21"/>
                <w:szCs w:val="21"/>
                <w:highlight w:val="none"/>
              </w:rPr>
              <w:t>评标办法</w:t>
            </w:r>
          </w:p>
        </w:tc>
        <w:tc>
          <w:tcPr>
            <w:tcW w:w="6981" w:type="dxa"/>
            <w:noWrap w:val="0"/>
            <w:vAlign w:val="center"/>
          </w:tcPr>
          <w:p w14:paraId="56E52394">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kern w:val="2"/>
                <w:sz w:val="21"/>
                <w:szCs w:val="21"/>
                <w:highlight w:val="none"/>
                <w:u w:val="single"/>
                <w:lang w:val="en-US" w:eastAsia="zh-CN" w:bidi="ar-SA"/>
              </w:rPr>
            </w:pPr>
            <w:r>
              <w:rPr>
                <w:rFonts w:hint="eastAsia" w:ascii="仿宋" w:hAnsi="仿宋" w:eastAsia="仿宋" w:cs="仿宋"/>
                <w:color w:val="auto"/>
                <w:sz w:val="21"/>
                <w:szCs w:val="21"/>
                <w:highlight w:val="none"/>
              </w:rPr>
              <w:t>最低评标价法（A类）</w:t>
            </w:r>
          </w:p>
        </w:tc>
      </w:tr>
      <w:tr w14:paraId="5A6D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43" w:hRule="atLeast"/>
          <w:jc w:val="center"/>
        </w:trPr>
        <w:tc>
          <w:tcPr>
            <w:tcW w:w="571" w:type="dxa"/>
            <w:noWrap w:val="0"/>
            <w:vAlign w:val="center"/>
          </w:tcPr>
          <w:p w14:paraId="231E3EF2">
            <w:pPr>
              <w:keepNext w:val="0"/>
              <w:keepLines w:val="0"/>
              <w:pageBreakBefore w:val="0"/>
              <w:widowControl w:val="0"/>
              <w:kinsoku/>
              <w:wordWrap/>
              <w:overflowPunct/>
              <w:topLinePunct w:val="0"/>
              <w:autoSpaceDE w:val="0"/>
              <w:autoSpaceDN w:val="0"/>
              <w:bidi w:val="0"/>
              <w:adjustRightInd w:val="0"/>
              <w:spacing w:line="260" w:lineRule="exact"/>
              <w:ind w:left="90" w:leftChars="43" w:right="94" w:rightChars="45"/>
              <w:jc w:val="center"/>
              <w:textAlignment w:val="auto"/>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1</w:t>
            </w:r>
          </w:p>
        </w:tc>
        <w:tc>
          <w:tcPr>
            <w:tcW w:w="1721" w:type="dxa"/>
            <w:noWrap w:val="0"/>
            <w:vAlign w:val="center"/>
          </w:tcPr>
          <w:p w14:paraId="6E16A784">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签字或盖章要求</w:t>
            </w:r>
          </w:p>
        </w:tc>
        <w:tc>
          <w:tcPr>
            <w:tcW w:w="6981" w:type="dxa"/>
            <w:noWrap w:val="0"/>
            <w:vAlign w:val="center"/>
          </w:tcPr>
          <w:p w14:paraId="400A34C6">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（1）投标文件</w:t>
            </w:r>
            <w:r>
              <w:rPr>
                <w:rFonts w:hint="eastAsia" w:ascii="仿宋" w:hAnsi="仿宋" w:eastAsia="仿宋" w:cs="仿宋"/>
                <w:color w:val="auto"/>
                <w:sz w:val="21"/>
                <w:szCs w:val="21"/>
                <w:highlight w:val="none"/>
                <w:lang w:eastAsia="zh-Hans"/>
              </w:rPr>
              <w:t>均为网上上传，请严格按照投标工具软件显示的签章要求签章，如有遗漏将无法生成投标文件</w:t>
            </w:r>
            <w:r>
              <w:rPr>
                <w:rFonts w:hint="eastAsia" w:ascii="仿宋" w:hAnsi="仿宋" w:eastAsia="仿宋" w:cs="仿宋"/>
                <w:color w:val="auto"/>
                <w:sz w:val="21"/>
                <w:szCs w:val="21"/>
                <w:highlight w:val="none"/>
              </w:rPr>
              <w:t>。</w:t>
            </w:r>
          </w:p>
          <w:p w14:paraId="6EA915D9">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（2）未在规定时间内</w:t>
            </w:r>
            <w:r>
              <w:rPr>
                <w:rFonts w:hint="eastAsia" w:ascii="仿宋" w:hAnsi="仿宋" w:eastAsia="仿宋" w:cs="仿宋"/>
                <w:color w:val="auto"/>
                <w:sz w:val="21"/>
                <w:szCs w:val="21"/>
                <w:highlight w:val="none"/>
                <w:lang w:eastAsia="zh-Hans"/>
              </w:rPr>
              <w:t>上传投标文件视为弃标</w:t>
            </w:r>
            <w:r>
              <w:rPr>
                <w:rFonts w:hint="eastAsia" w:ascii="仿宋" w:hAnsi="仿宋" w:eastAsia="仿宋" w:cs="仿宋"/>
                <w:color w:val="auto"/>
                <w:sz w:val="21"/>
                <w:szCs w:val="21"/>
                <w:highlight w:val="none"/>
              </w:rPr>
              <w:t>。</w:t>
            </w:r>
          </w:p>
          <w:p w14:paraId="7257B0D2">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eastAsia="zh-Hans"/>
              </w:rPr>
              <w:t>CA锁签字盖章和公司章有同样的法律效力，投标人制作投标文件</w:t>
            </w:r>
            <w:r>
              <w:rPr>
                <w:rFonts w:hint="eastAsia" w:ascii="仿宋" w:hAnsi="仿宋" w:eastAsia="仿宋" w:cs="仿宋"/>
                <w:color w:val="auto"/>
                <w:sz w:val="21"/>
                <w:szCs w:val="21"/>
                <w:highlight w:val="none"/>
              </w:rPr>
              <w:t>时</w:t>
            </w:r>
            <w:r>
              <w:rPr>
                <w:rFonts w:hint="eastAsia" w:ascii="仿宋" w:hAnsi="仿宋" w:eastAsia="仿宋" w:cs="仿宋"/>
                <w:color w:val="auto"/>
                <w:sz w:val="21"/>
                <w:szCs w:val="21"/>
                <w:highlight w:val="none"/>
                <w:lang w:eastAsia="zh-Hans"/>
              </w:rPr>
              <w:t>务必检查核实，确保不遗漏</w:t>
            </w:r>
            <w:r>
              <w:rPr>
                <w:rFonts w:hint="eastAsia" w:ascii="仿宋" w:hAnsi="仿宋" w:eastAsia="仿宋" w:cs="仿宋"/>
                <w:color w:val="auto"/>
                <w:sz w:val="21"/>
                <w:szCs w:val="21"/>
                <w:highlight w:val="none"/>
              </w:rPr>
              <w:t>。</w:t>
            </w:r>
          </w:p>
        </w:tc>
      </w:tr>
      <w:tr w14:paraId="054FF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6B1372DD">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2</w:t>
            </w:r>
          </w:p>
        </w:tc>
        <w:tc>
          <w:tcPr>
            <w:tcW w:w="1721" w:type="dxa"/>
            <w:noWrap w:val="0"/>
            <w:vAlign w:val="center"/>
          </w:tcPr>
          <w:p w14:paraId="28B81C8A">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投</w:t>
            </w:r>
            <w:r>
              <w:rPr>
                <w:rFonts w:hint="eastAsia" w:ascii="仿宋" w:hAnsi="仿宋" w:eastAsia="仿宋" w:cs="仿宋"/>
                <w:color w:val="auto"/>
                <w:sz w:val="21"/>
                <w:szCs w:val="21"/>
                <w:highlight w:val="none"/>
                <w:lang w:val="en-US" w:eastAsia="zh-CN"/>
              </w:rPr>
              <w:t>标</w:t>
            </w:r>
            <w:r>
              <w:rPr>
                <w:rFonts w:hint="eastAsia" w:ascii="仿宋" w:hAnsi="仿宋" w:eastAsia="仿宋" w:cs="仿宋"/>
                <w:color w:val="auto"/>
                <w:sz w:val="21"/>
                <w:szCs w:val="21"/>
                <w:highlight w:val="none"/>
              </w:rPr>
              <w:t>文件份数</w:t>
            </w:r>
          </w:p>
        </w:tc>
        <w:tc>
          <w:tcPr>
            <w:tcW w:w="6981" w:type="dxa"/>
            <w:noWrap w:val="0"/>
            <w:vAlign w:val="center"/>
          </w:tcPr>
          <w:p w14:paraId="1A2EBBB0">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壹份，</w:t>
            </w:r>
            <w:r>
              <w:rPr>
                <w:rFonts w:hint="eastAsia" w:ascii="仿宋" w:hAnsi="仿宋" w:eastAsia="仿宋" w:cs="仿宋"/>
                <w:color w:val="auto"/>
                <w:sz w:val="21"/>
                <w:szCs w:val="21"/>
                <w:highlight w:val="none"/>
                <w:lang w:eastAsia="zh-Hans"/>
              </w:rPr>
              <w:t>以上传至</w:t>
            </w:r>
            <w:r>
              <w:rPr>
                <w:rFonts w:hint="eastAsia" w:ascii="仿宋" w:hAnsi="仿宋" w:eastAsia="仿宋" w:cs="仿宋"/>
                <w:color w:val="auto"/>
                <w:sz w:val="21"/>
                <w:szCs w:val="21"/>
                <w:highlight w:val="none"/>
              </w:rPr>
              <w:t>招采平台</w:t>
            </w:r>
            <w:r>
              <w:rPr>
                <w:rFonts w:hint="eastAsia" w:ascii="仿宋" w:hAnsi="仿宋" w:eastAsia="仿宋" w:cs="仿宋"/>
                <w:color w:val="auto"/>
                <w:sz w:val="21"/>
                <w:szCs w:val="21"/>
                <w:highlight w:val="none"/>
                <w:lang w:eastAsia="zh-Hans"/>
              </w:rPr>
              <w:t>系统的投标文件</w:t>
            </w:r>
            <w:r>
              <w:rPr>
                <w:rFonts w:hint="eastAsia" w:ascii="仿宋" w:hAnsi="仿宋" w:eastAsia="仿宋" w:cs="仿宋"/>
                <w:color w:val="auto"/>
                <w:sz w:val="21"/>
                <w:szCs w:val="21"/>
                <w:highlight w:val="none"/>
              </w:rPr>
              <w:t>为准。</w:t>
            </w:r>
          </w:p>
        </w:tc>
      </w:tr>
      <w:tr w14:paraId="62973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086DE651">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3</w:t>
            </w:r>
          </w:p>
        </w:tc>
        <w:tc>
          <w:tcPr>
            <w:tcW w:w="1721" w:type="dxa"/>
            <w:noWrap w:val="0"/>
            <w:vAlign w:val="center"/>
          </w:tcPr>
          <w:p w14:paraId="76869096">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装订包封要求</w:t>
            </w:r>
          </w:p>
        </w:tc>
        <w:tc>
          <w:tcPr>
            <w:tcW w:w="6981" w:type="dxa"/>
            <w:noWrap w:val="0"/>
            <w:vAlign w:val="center"/>
          </w:tcPr>
          <w:p w14:paraId="09E8D7D9">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Hans"/>
              </w:rPr>
              <w:t>投标文件为投标工具生成的电子文件，系统上传即可，无需打印、装订。</w:t>
            </w:r>
          </w:p>
        </w:tc>
      </w:tr>
      <w:tr w14:paraId="0776A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1AF4C9F5">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w:t>
            </w:r>
          </w:p>
        </w:tc>
        <w:tc>
          <w:tcPr>
            <w:tcW w:w="1721" w:type="dxa"/>
            <w:noWrap w:val="0"/>
            <w:vAlign w:val="center"/>
          </w:tcPr>
          <w:p w14:paraId="3F03A5D1">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是否退还投标文件</w:t>
            </w:r>
          </w:p>
        </w:tc>
        <w:tc>
          <w:tcPr>
            <w:tcW w:w="6981" w:type="dxa"/>
            <w:noWrap w:val="0"/>
            <w:vAlign w:val="center"/>
          </w:tcPr>
          <w:p w14:paraId="191B41B5">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Hans"/>
              </w:rPr>
            </w:pPr>
            <w:r>
              <w:rPr>
                <w:rFonts w:hint="eastAsia" w:ascii="仿宋" w:hAnsi="仿宋" w:eastAsia="仿宋" w:cs="仿宋"/>
                <w:color w:val="auto"/>
                <w:sz w:val="21"/>
                <w:szCs w:val="21"/>
                <w:highlight w:val="none"/>
              </w:rPr>
              <w:t>否</w:t>
            </w:r>
          </w:p>
        </w:tc>
      </w:tr>
      <w:tr w14:paraId="47CFB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2B6B87AA">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15</w:t>
            </w:r>
          </w:p>
        </w:tc>
        <w:tc>
          <w:tcPr>
            <w:tcW w:w="1721" w:type="dxa"/>
            <w:noWrap w:val="0"/>
            <w:vAlign w:val="center"/>
          </w:tcPr>
          <w:p w14:paraId="411575B4">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递交（上传）投标文件（开标）的时间和地点</w:t>
            </w:r>
          </w:p>
        </w:tc>
        <w:tc>
          <w:tcPr>
            <w:tcW w:w="6981" w:type="dxa"/>
            <w:noWrap w:val="0"/>
            <w:vAlign w:val="center"/>
          </w:tcPr>
          <w:p w14:paraId="3A65E889">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递交（上传）投标文件截止时间（开标时间）：</w:t>
            </w:r>
            <w:r>
              <w:rPr>
                <w:rFonts w:hint="eastAsia" w:ascii="仿宋" w:hAnsi="仿宋" w:eastAsia="仿宋" w:cs="仿宋"/>
                <w:b w:val="0"/>
                <w:bCs w:val="0"/>
                <w:color w:val="auto"/>
                <w:kern w:val="0"/>
                <w:sz w:val="21"/>
                <w:szCs w:val="21"/>
                <w:highlight w:val="none"/>
                <w:u w:val="single"/>
                <w:lang w:val="en-US" w:eastAsia="zh-CN"/>
              </w:rPr>
              <w:t xml:space="preserve"> 见招标公告</w:t>
            </w:r>
            <w:r>
              <w:rPr>
                <w:rFonts w:hint="eastAsia" w:ascii="仿宋" w:hAnsi="仿宋" w:eastAsia="仿宋" w:cs="仿宋"/>
                <w:color w:val="auto"/>
                <w:sz w:val="21"/>
                <w:szCs w:val="21"/>
                <w:highlight w:val="none"/>
              </w:rPr>
              <w:t>，逾期送达（上传）</w:t>
            </w:r>
            <w:r>
              <w:rPr>
                <w:rFonts w:hint="eastAsia" w:ascii="仿宋" w:hAnsi="仿宋" w:eastAsia="仿宋" w:cs="仿宋"/>
                <w:color w:val="auto"/>
                <w:sz w:val="21"/>
                <w:szCs w:val="21"/>
                <w:highlight w:val="none"/>
                <w:lang w:eastAsia="zh-Hans"/>
              </w:rPr>
              <w:t>视为放弃投标</w:t>
            </w:r>
            <w:r>
              <w:rPr>
                <w:rFonts w:hint="eastAsia" w:ascii="仿宋" w:hAnsi="仿宋" w:eastAsia="仿宋" w:cs="仿宋"/>
                <w:color w:val="auto"/>
                <w:sz w:val="21"/>
                <w:szCs w:val="21"/>
                <w:highlight w:val="none"/>
              </w:rPr>
              <w:t>。</w:t>
            </w:r>
          </w:p>
          <w:p w14:paraId="35E5CBE7">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地点：登陆招采平台，供应商窗口输入企业</w:t>
            </w:r>
            <w:r>
              <w:rPr>
                <w:rFonts w:hint="eastAsia" w:ascii="仿宋" w:hAnsi="仿宋" w:eastAsia="仿宋" w:cs="仿宋"/>
                <w:color w:val="auto"/>
                <w:sz w:val="21"/>
                <w:szCs w:val="21"/>
                <w:highlight w:val="none"/>
                <w:lang w:eastAsia="zh-Hans"/>
              </w:rPr>
              <w:t>名称</w:t>
            </w:r>
            <w:r>
              <w:rPr>
                <w:rFonts w:hint="eastAsia" w:ascii="仿宋" w:hAnsi="仿宋" w:eastAsia="仿宋" w:cs="仿宋"/>
                <w:color w:val="auto"/>
                <w:sz w:val="21"/>
                <w:szCs w:val="21"/>
                <w:highlight w:val="none"/>
              </w:rPr>
              <w:t>和密码后</w:t>
            </w:r>
            <w:r>
              <w:rPr>
                <w:rFonts w:hint="eastAsia" w:ascii="仿宋" w:hAnsi="仿宋" w:eastAsia="仿宋" w:cs="仿宋"/>
                <w:color w:val="auto"/>
                <w:sz w:val="21"/>
                <w:szCs w:val="21"/>
                <w:highlight w:val="none"/>
                <w:lang w:eastAsia="zh-CN"/>
              </w:rPr>
              <w:t>登录系统</w:t>
            </w:r>
            <w:r>
              <w:rPr>
                <w:rFonts w:hint="eastAsia" w:ascii="仿宋" w:hAnsi="仿宋" w:eastAsia="仿宋" w:cs="仿宋"/>
                <w:color w:val="auto"/>
                <w:sz w:val="21"/>
                <w:szCs w:val="21"/>
                <w:highlight w:val="none"/>
              </w:rPr>
              <w:t>；在“项目投标”</w:t>
            </w:r>
            <w:r>
              <w:rPr>
                <w:rFonts w:hint="eastAsia" w:ascii="仿宋" w:hAnsi="仿宋" w:eastAsia="仿宋" w:cs="仿宋"/>
                <w:color w:val="auto"/>
                <w:sz w:val="21"/>
                <w:szCs w:val="21"/>
                <w:highlight w:val="none"/>
                <w:lang w:eastAsia="zh-Hans"/>
              </w:rPr>
              <w:t>-“上传投标文件”点击“上传”按钮上传投标文件。</w:t>
            </w:r>
          </w:p>
          <w:p w14:paraId="7A2246CA">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备注：投标人可以在线解密投标文件，无须现场参加开标。</w:t>
            </w:r>
          </w:p>
        </w:tc>
      </w:tr>
      <w:tr w14:paraId="3C3F9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1CC36052">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16</w:t>
            </w:r>
          </w:p>
        </w:tc>
        <w:tc>
          <w:tcPr>
            <w:tcW w:w="1721" w:type="dxa"/>
            <w:noWrap w:val="0"/>
            <w:vAlign w:val="center"/>
          </w:tcPr>
          <w:p w14:paraId="04C53EFB">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开标程序</w:t>
            </w:r>
          </w:p>
        </w:tc>
        <w:tc>
          <w:tcPr>
            <w:tcW w:w="6981" w:type="dxa"/>
            <w:noWrap w:val="0"/>
            <w:vAlign w:val="center"/>
          </w:tcPr>
          <w:p w14:paraId="610E34EF">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eastAsia="zh-Hans"/>
              </w:rPr>
              <w:t>投标人</w:t>
            </w:r>
            <w:r>
              <w:rPr>
                <w:rFonts w:hint="eastAsia" w:ascii="仿宋" w:hAnsi="仿宋" w:eastAsia="仿宋" w:cs="仿宋"/>
                <w:color w:val="auto"/>
                <w:sz w:val="21"/>
                <w:szCs w:val="21"/>
                <w:highlight w:val="none"/>
              </w:rPr>
              <w:t>至少在投标截止时间前30分钟</w:t>
            </w:r>
            <w:r>
              <w:rPr>
                <w:rFonts w:hint="eastAsia" w:ascii="仿宋" w:hAnsi="仿宋" w:eastAsia="仿宋" w:cs="仿宋"/>
                <w:color w:val="auto"/>
                <w:sz w:val="21"/>
                <w:szCs w:val="21"/>
                <w:highlight w:val="none"/>
                <w:lang w:eastAsia="zh-Hans"/>
              </w:rPr>
              <w:t>在</w:t>
            </w:r>
            <w:r>
              <w:rPr>
                <w:rFonts w:hint="eastAsia" w:ascii="仿宋" w:hAnsi="仿宋" w:eastAsia="仿宋" w:cs="仿宋"/>
                <w:color w:val="auto"/>
                <w:sz w:val="21"/>
                <w:szCs w:val="21"/>
                <w:highlight w:val="none"/>
              </w:rPr>
              <w:t>招采平台供应商窗口输入企业</w:t>
            </w:r>
            <w:r>
              <w:rPr>
                <w:rFonts w:hint="eastAsia" w:ascii="仿宋" w:hAnsi="仿宋" w:eastAsia="仿宋" w:cs="仿宋"/>
                <w:color w:val="auto"/>
                <w:sz w:val="21"/>
                <w:szCs w:val="21"/>
                <w:highlight w:val="none"/>
                <w:lang w:eastAsia="zh-Hans"/>
              </w:rPr>
              <w:t>名称</w:t>
            </w:r>
            <w:r>
              <w:rPr>
                <w:rFonts w:hint="eastAsia" w:ascii="仿宋" w:hAnsi="仿宋" w:eastAsia="仿宋" w:cs="仿宋"/>
                <w:color w:val="auto"/>
                <w:sz w:val="21"/>
                <w:szCs w:val="21"/>
                <w:highlight w:val="none"/>
              </w:rPr>
              <w:t>和密码后</w:t>
            </w:r>
            <w:r>
              <w:rPr>
                <w:rFonts w:hint="eastAsia" w:ascii="仿宋" w:hAnsi="仿宋" w:eastAsia="仿宋" w:cs="仿宋"/>
                <w:color w:val="auto"/>
                <w:sz w:val="21"/>
                <w:szCs w:val="21"/>
                <w:highlight w:val="none"/>
                <w:lang w:eastAsia="zh-CN"/>
              </w:rPr>
              <w:t>登录系统</w:t>
            </w:r>
            <w:r>
              <w:rPr>
                <w:rFonts w:hint="eastAsia" w:ascii="仿宋" w:hAnsi="仿宋" w:eastAsia="仿宋" w:cs="仿宋"/>
                <w:color w:val="auto"/>
                <w:sz w:val="21"/>
                <w:szCs w:val="21"/>
                <w:highlight w:val="none"/>
                <w:lang w:eastAsia="zh-Hans"/>
              </w:rPr>
              <w:t>；在“</w:t>
            </w:r>
            <w:r>
              <w:rPr>
                <w:rFonts w:hint="eastAsia" w:ascii="仿宋" w:hAnsi="仿宋" w:eastAsia="仿宋" w:cs="仿宋"/>
                <w:color w:val="auto"/>
                <w:sz w:val="21"/>
                <w:szCs w:val="21"/>
                <w:highlight w:val="none"/>
              </w:rPr>
              <w:t>项目投标</w:t>
            </w:r>
            <w:r>
              <w:rPr>
                <w:rFonts w:hint="eastAsia" w:ascii="仿宋" w:hAnsi="仿宋" w:eastAsia="仿宋" w:cs="仿宋"/>
                <w:color w:val="auto"/>
                <w:sz w:val="21"/>
                <w:szCs w:val="21"/>
                <w:highlight w:val="none"/>
                <w:lang w:eastAsia="zh-Hans"/>
              </w:rPr>
              <w:t>”栏目点击“开标签到解密”按钮进入开标系统等待开标，此时可看到开标倒计时画面</w:t>
            </w:r>
            <w:r>
              <w:rPr>
                <w:rFonts w:hint="eastAsia" w:ascii="仿宋" w:hAnsi="仿宋" w:eastAsia="仿宋" w:cs="仿宋"/>
                <w:color w:val="auto"/>
                <w:sz w:val="21"/>
                <w:szCs w:val="21"/>
                <w:highlight w:val="none"/>
              </w:rPr>
              <w:t>。</w:t>
            </w:r>
          </w:p>
          <w:p w14:paraId="0D4DCE5A">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eastAsia="zh-Hans"/>
              </w:rPr>
              <w:t>已至开标时间，可在开标系统右上角点击签到按钮签到，如有疑问也可向</w:t>
            </w:r>
            <w:r>
              <w:rPr>
                <w:rFonts w:hint="eastAsia" w:ascii="仿宋" w:hAnsi="仿宋" w:eastAsia="仿宋" w:cs="仿宋"/>
                <w:color w:val="auto"/>
                <w:sz w:val="21"/>
                <w:szCs w:val="21"/>
                <w:highlight w:val="none"/>
              </w:rPr>
              <w:t>开标工作人员</w:t>
            </w:r>
            <w:r>
              <w:rPr>
                <w:rFonts w:hint="eastAsia" w:ascii="仿宋" w:hAnsi="仿宋" w:eastAsia="仿宋" w:cs="仿宋"/>
                <w:color w:val="auto"/>
                <w:sz w:val="21"/>
                <w:szCs w:val="21"/>
                <w:highlight w:val="none"/>
                <w:lang w:eastAsia="zh-Hans"/>
              </w:rPr>
              <w:t>提问，签到和提问回复的信息公布在右侧互动栏里</w:t>
            </w:r>
            <w:r>
              <w:rPr>
                <w:rFonts w:hint="eastAsia" w:ascii="仿宋" w:hAnsi="仿宋" w:eastAsia="仿宋" w:cs="仿宋"/>
                <w:color w:val="auto"/>
                <w:sz w:val="21"/>
                <w:szCs w:val="21"/>
                <w:highlight w:val="none"/>
              </w:rPr>
              <w:t>。</w:t>
            </w:r>
          </w:p>
          <w:p w14:paraId="4F695B18">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eastAsia="zh-Hans"/>
              </w:rPr>
              <w:t>到开标时间</w:t>
            </w:r>
            <w:r>
              <w:rPr>
                <w:rFonts w:hint="eastAsia" w:ascii="仿宋" w:hAnsi="仿宋" w:eastAsia="仿宋" w:cs="仿宋"/>
                <w:color w:val="auto"/>
                <w:sz w:val="21"/>
                <w:szCs w:val="21"/>
                <w:highlight w:val="none"/>
              </w:rPr>
              <w:t>工作人员点击“解密”按钮后</w:t>
            </w:r>
            <w:r>
              <w:rPr>
                <w:rFonts w:hint="eastAsia" w:ascii="仿宋" w:hAnsi="仿宋" w:eastAsia="仿宋" w:cs="仿宋"/>
                <w:color w:val="auto"/>
                <w:sz w:val="21"/>
                <w:szCs w:val="21"/>
                <w:highlight w:val="none"/>
                <w:lang w:eastAsia="zh-Hans"/>
              </w:rPr>
              <w:t>即可解密，解密时间：</w:t>
            </w:r>
            <w:r>
              <w:rPr>
                <w:rFonts w:hint="eastAsia" w:ascii="仿宋" w:hAnsi="仿宋" w:eastAsia="仿宋" w:cs="仿宋"/>
                <w:b/>
                <w:bCs/>
                <w:color w:val="auto"/>
                <w:sz w:val="21"/>
                <w:szCs w:val="21"/>
                <w:highlight w:val="none"/>
                <w:lang w:val="en-US" w:eastAsia="zh-CN"/>
              </w:rPr>
              <w:t>2</w:t>
            </w:r>
            <w:r>
              <w:rPr>
                <w:rFonts w:hint="eastAsia" w:ascii="仿宋" w:hAnsi="仿宋" w:eastAsia="仿宋" w:cs="仿宋"/>
                <w:b/>
                <w:bCs/>
                <w:color w:val="auto"/>
                <w:sz w:val="21"/>
                <w:szCs w:val="21"/>
                <w:highlight w:val="none"/>
              </w:rPr>
              <w:t>0</w:t>
            </w:r>
            <w:r>
              <w:rPr>
                <w:rFonts w:hint="eastAsia" w:ascii="仿宋" w:hAnsi="仿宋" w:eastAsia="仿宋" w:cs="仿宋"/>
                <w:b/>
                <w:bCs/>
                <w:color w:val="auto"/>
                <w:sz w:val="21"/>
                <w:szCs w:val="21"/>
                <w:highlight w:val="none"/>
                <w:lang w:eastAsia="zh-Hans"/>
              </w:rPr>
              <w:t>分</w:t>
            </w:r>
            <w:r>
              <w:rPr>
                <w:rFonts w:hint="eastAsia" w:ascii="仿宋" w:hAnsi="仿宋" w:eastAsia="仿宋" w:cs="仿宋"/>
                <w:color w:val="auto"/>
                <w:sz w:val="21"/>
                <w:szCs w:val="21"/>
                <w:highlight w:val="none"/>
                <w:lang w:eastAsia="zh-Hans"/>
              </w:rPr>
              <w:t>钟（以</w:t>
            </w:r>
            <w:r>
              <w:rPr>
                <w:rFonts w:hint="eastAsia" w:ascii="仿宋" w:hAnsi="仿宋" w:eastAsia="仿宋" w:cs="仿宋"/>
                <w:color w:val="auto"/>
                <w:sz w:val="21"/>
                <w:szCs w:val="21"/>
                <w:highlight w:val="none"/>
              </w:rPr>
              <w:t>开标</w:t>
            </w:r>
            <w:r>
              <w:rPr>
                <w:rFonts w:hint="eastAsia" w:ascii="仿宋" w:hAnsi="仿宋" w:eastAsia="仿宋" w:cs="仿宋"/>
                <w:color w:val="auto"/>
                <w:sz w:val="21"/>
                <w:szCs w:val="21"/>
                <w:highlight w:val="none"/>
                <w:lang w:eastAsia="zh-Hans"/>
              </w:rPr>
              <w:t>系统解密倒计时为准）</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eastAsia="zh-Hans"/>
              </w:rPr>
              <w:t>务必在有效的解密时间之前插入CA锁解密投标文件，</w:t>
            </w:r>
            <w:r>
              <w:rPr>
                <w:rFonts w:hint="eastAsia" w:ascii="仿宋" w:hAnsi="仿宋" w:eastAsia="仿宋" w:cs="仿宋"/>
                <w:b/>
                <w:bCs/>
                <w:color w:val="auto"/>
                <w:sz w:val="21"/>
                <w:szCs w:val="21"/>
                <w:highlight w:val="none"/>
                <w:lang w:val="en-US" w:eastAsia="zh-CN"/>
              </w:rPr>
              <w:t>未在规定时间内解密的</w:t>
            </w:r>
            <w:r>
              <w:rPr>
                <w:rFonts w:hint="eastAsia" w:ascii="仿宋" w:hAnsi="仿宋" w:eastAsia="仿宋" w:cs="仿宋"/>
                <w:color w:val="auto"/>
                <w:sz w:val="21"/>
                <w:szCs w:val="21"/>
                <w:highlight w:val="none"/>
                <w:lang w:eastAsia="zh-Hans"/>
              </w:rPr>
              <w:t>视为放弃投标</w:t>
            </w:r>
            <w:r>
              <w:rPr>
                <w:rFonts w:hint="eastAsia" w:ascii="仿宋" w:hAnsi="仿宋" w:eastAsia="仿宋" w:cs="仿宋"/>
                <w:color w:val="auto"/>
                <w:sz w:val="21"/>
                <w:szCs w:val="21"/>
                <w:highlight w:val="none"/>
              </w:rPr>
              <w:t>。</w:t>
            </w:r>
          </w:p>
          <w:p w14:paraId="0E7A4B92">
            <w:pPr>
              <w:keepNext w:val="0"/>
              <w:keepLines w:val="0"/>
              <w:pageBreakBefore w:val="0"/>
              <w:widowControl w:val="0"/>
              <w:kinsoku/>
              <w:wordWrap/>
              <w:overflowPunct/>
              <w:topLinePunct w:val="0"/>
              <w:bidi w:val="0"/>
              <w:spacing w:line="260" w:lineRule="exact"/>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eastAsia="zh-Hans"/>
              </w:rPr>
              <w:t>解密完成，请不要离开</w:t>
            </w:r>
            <w:r>
              <w:rPr>
                <w:rFonts w:hint="eastAsia" w:ascii="仿宋" w:hAnsi="仿宋" w:eastAsia="仿宋" w:cs="仿宋"/>
                <w:color w:val="auto"/>
                <w:sz w:val="21"/>
                <w:szCs w:val="21"/>
                <w:highlight w:val="none"/>
              </w:rPr>
              <w:t>登录界面</w:t>
            </w:r>
            <w:r>
              <w:rPr>
                <w:rFonts w:hint="eastAsia" w:ascii="仿宋" w:hAnsi="仿宋" w:eastAsia="仿宋" w:cs="仿宋"/>
                <w:color w:val="auto"/>
                <w:sz w:val="21"/>
                <w:szCs w:val="21"/>
                <w:highlight w:val="none"/>
                <w:lang w:eastAsia="zh-Hans"/>
              </w:rPr>
              <w:t>，等待开标和评标结束，如果评标过程中评委组长发出询标信息（或者谈判类的二次报价信息），投标人</w:t>
            </w:r>
            <w:r>
              <w:rPr>
                <w:rFonts w:hint="eastAsia" w:ascii="仿宋" w:hAnsi="仿宋" w:eastAsia="仿宋" w:cs="仿宋"/>
                <w:color w:val="auto"/>
                <w:sz w:val="21"/>
                <w:szCs w:val="21"/>
                <w:highlight w:val="none"/>
              </w:rPr>
              <w:t>需在</w:t>
            </w:r>
            <w:r>
              <w:rPr>
                <w:rFonts w:hint="eastAsia" w:ascii="仿宋" w:hAnsi="仿宋" w:eastAsia="仿宋" w:cs="仿宋"/>
                <w:color w:val="auto"/>
                <w:sz w:val="21"/>
                <w:szCs w:val="21"/>
                <w:highlight w:val="none"/>
                <w:lang w:eastAsia="zh-Hans"/>
              </w:rPr>
              <w:t>有效时间内回复</w:t>
            </w:r>
            <w:r>
              <w:rPr>
                <w:rFonts w:hint="eastAsia" w:ascii="仿宋" w:hAnsi="仿宋" w:eastAsia="仿宋" w:cs="仿宋"/>
                <w:color w:val="auto"/>
                <w:sz w:val="21"/>
                <w:szCs w:val="21"/>
                <w:highlight w:val="none"/>
              </w:rPr>
              <w:t>或</w:t>
            </w:r>
            <w:r>
              <w:rPr>
                <w:rFonts w:hint="eastAsia" w:ascii="仿宋" w:hAnsi="仿宋" w:eastAsia="仿宋" w:cs="仿宋"/>
                <w:color w:val="auto"/>
                <w:sz w:val="21"/>
                <w:szCs w:val="21"/>
                <w:highlight w:val="none"/>
                <w:lang w:eastAsia="zh-Hans"/>
              </w:rPr>
              <w:t>报价，否则由此产生的后果投标人自己承担</w:t>
            </w:r>
            <w:r>
              <w:rPr>
                <w:rFonts w:hint="eastAsia" w:ascii="仿宋" w:hAnsi="仿宋" w:eastAsia="仿宋" w:cs="仿宋"/>
                <w:color w:val="auto"/>
                <w:sz w:val="21"/>
                <w:szCs w:val="21"/>
                <w:highlight w:val="none"/>
              </w:rPr>
              <w:t>。</w:t>
            </w:r>
          </w:p>
        </w:tc>
      </w:tr>
      <w:tr w14:paraId="036E1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5BDD7827">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7</w:t>
            </w:r>
          </w:p>
        </w:tc>
        <w:tc>
          <w:tcPr>
            <w:tcW w:w="1721" w:type="dxa"/>
            <w:noWrap w:val="0"/>
            <w:vAlign w:val="center"/>
          </w:tcPr>
          <w:p w14:paraId="1ED9CDA6">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资格审查</w:t>
            </w:r>
          </w:p>
        </w:tc>
        <w:tc>
          <w:tcPr>
            <w:tcW w:w="6981" w:type="dxa"/>
            <w:noWrap w:val="0"/>
            <w:vAlign w:val="center"/>
          </w:tcPr>
          <w:p w14:paraId="45C4539D">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开标后由评标委员会对投标人资格进行</w:t>
            </w:r>
            <w:r>
              <w:rPr>
                <w:rFonts w:hint="eastAsia" w:ascii="仿宋" w:hAnsi="仿宋" w:eastAsia="仿宋" w:cs="仿宋"/>
                <w:color w:val="auto"/>
                <w:sz w:val="21"/>
                <w:szCs w:val="21"/>
                <w:highlight w:val="none"/>
                <w:lang w:eastAsia="zh-CN"/>
              </w:rPr>
              <w:t>全面</w:t>
            </w:r>
            <w:r>
              <w:rPr>
                <w:rFonts w:hint="eastAsia" w:ascii="仿宋" w:hAnsi="仿宋" w:eastAsia="仿宋" w:cs="仿宋"/>
                <w:color w:val="auto"/>
                <w:sz w:val="21"/>
                <w:szCs w:val="21"/>
                <w:highlight w:val="none"/>
              </w:rPr>
              <w:t>审查。</w:t>
            </w:r>
          </w:p>
        </w:tc>
      </w:tr>
      <w:tr w14:paraId="620F3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55698DFA">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8</w:t>
            </w:r>
          </w:p>
        </w:tc>
        <w:tc>
          <w:tcPr>
            <w:tcW w:w="1721" w:type="dxa"/>
            <w:noWrap w:val="0"/>
            <w:vAlign w:val="center"/>
          </w:tcPr>
          <w:p w14:paraId="03108DAC">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中标候选人数量</w:t>
            </w:r>
          </w:p>
        </w:tc>
        <w:tc>
          <w:tcPr>
            <w:tcW w:w="6981" w:type="dxa"/>
            <w:noWrap w:val="0"/>
            <w:vAlign w:val="center"/>
          </w:tcPr>
          <w:p w14:paraId="6BF7D217">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每标段由评标委员会（小组）推荐不超过</w:t>
            </w:r>
            <w:r>
              <w:rPr>
                <w:rFonts w:hint="eastAsia" w:ascii="仿宋" w:hAnsi="仿宋" w:eastAsia="仿宋" w:cs="仿宋"/>
                <w:color w:val="auto"/>
                <w:sz w:val="21"/>
                <w:szCs w:val="21"/>
                <w:highlight w:val="none"/>
                <w:u w:val="single"/>
              </w:rPr>
              <w:t>3</w:t>
            </w:r>
            <w:r>
              <w:rPr>
                <w:rFonts w:hint="eastAsia" w:ascii="仿宋" w:hAnsi="仿宋" w:eastAsia="仿宋" w:cs="仿宋"/>
                <w:color w:val="auto"/>
                <w:sz w:val="21"/>
                <w:szCs w:val="21"/>
                <w:highlight w:val="none"/>
              </w:rPr>
              <w:t>家中标候选单位。</w:t>
            </w:r>
          </w:p>
        </w:tc>
      </w:tr>
      <w:tr w14:paraId="36D28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71" w:type="dxa"/>
            <w:noWrap w:val="0"/>
            <w:vAlign w:val="center"/>
          </w:tcPr>
          <w:p w14:paraId="41512CAD">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right="86" w:rightChars="41"/>
              <w:jc w:val="center"/>
              <w:textAlignment w:val="auto"/>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rPr>
              <w:t>1</w:t>
            </w:r>
            <w:r>
              <w:rPr>
                <w:rFonts w:hint="eastAsia" w:ascii="仿宋" w:hAnsi="仿宋" w:eastAsia="仿宋" w:cs="仿宋"/>
                <w:color w:val="auto"/>
                <w:kern w:val="0"/>
                <w:sz w:val="21"/>
                <w:szCs w:val="21"/>
                <w:highlight w:val="none"/>
                <w:lang w:val="en-US" w:eastAsia="zh-CN"/>
              </w:rPr>
              <w:t>9</w:t>
            </w:r>
          </w:p>
        </w:tc>
        <w:tc>
          <w:tcPr>
            <w:tcW w:w="1721" w:type="dxa"/>
            <w:noWrap w:val="0"/>
            <w:vAlign w:val="center"/>
          </w:tcPr>
          <w:p w14:paraId="75318C33">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spacing w:val="6"/>
                <w:sz w:val="21"/>
                <w:szCs w:val="21"/>
                <w:highlight w:val="none"/>
              </w:rPr>
              <w:t>合同履约保证金</w:t>
            </w:r>
          </w:p>
        </w:tc>
        <w:tc>
          <w:tcPr>
            <w:tcW w:w="6981" w:type="dxa"/>
            <w:noWrap w:val="0"/>
            <w:vAlign w:val="center"/>
          </w:tcPr>
          <w:p w14:paraId="525B2705">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合同履约保证金为</w:t>
            </w:r>
            <w:r>
              <w:rPr>
                <w:rFonts w:hint="eastAsia" w:ascii="仿宋" w:hAnsi="仿宋" w:eastAsia="仿宋" w:cs="仿宋"/>
                <w:b w:val="0"/>
                <w:bCs w:val="0"/>
                <w:color w:val="auto"/>
                <w:sz w:val="21"/>
                <w:szCs w:val="21"/>
                <w:highlight w:val="none"/>
                <w:u w:val="single"/>
                <w:lang w:val="en-US" w:eastAsia="zh-CN" w:bidi="ar"/>
              </w:rPr>
              <w:t xml:space="preserve"> </w:t>
            </w:r>
            <w:permStart w:id="43" w:edGrp="everyone"/>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lang w:val="en-US" w:eastAsia="zh-CN"/>
              </w:rPr>
              <w:t>人民币</w:t>
            </w:r>
            <w:r>
              <w:rPr>
                <w:rFonts w:hint="eastAsia" w:ascii="仿宋" w:hAnsi="仿宋" w:eastAsia="仿宋" w:cs="仿宋"/>
                <w:color w:val="auto"/>
                <w:sz w:val="21"/>
                <w:szCs w:val="21"/>
                <w:highlight w:val="yellow"/>
                <w:u w:val="single"/>
                <w:lang w:val="en-US" w:eastAsia="zh-CN"/>
              </w:rPr>
              <w:t>贰万元</w:t>
            </w:r>
            <w:r>
              <w:rPr>
                <w:rFonts w:hint="eastAsia" w:ascii="仿宋" w:hAnsi="仿宋" w:eastAsia="仿宋" w:cs="仿宋"/>
                <w:color w:val="auto"/>
                <w:sz w:val="21"/>
                <w:szCs w:val="21"/>
                <w:highlight w:val="yellow"/>
                <w:u w:val="single"/>
                <w:lang w:eastAsia="zh-CN"/>
              </w:rPr>
              <w:t>（</w:t>
            </w:r>
            <w:r>
              <w:rPr>
                <w:rFonts w:hint="eastAsia" w:ascii="仿宋" w:hAnsi="仿宋" w:eastAsia="仿宋" w:cs="仿宋"/>
                <w:color w:val="auto"/>
                <w:sz w:val="21"/>
                <w:szCs w:val="21"/>
                <w:highlight w:val="yellow"/>
                <w:u w:val="single"/>
                <w:lang w:val="en-US" w:eastAsia="zh-CN"/>
              </w:rPr>
              <w:t>¥：20000.00</w:t>
            </w:r>
            <w:r>
              <w:rPr>
                <w:rFonts w:hint="eastAsia" w:ascii="仿宋" w:hAnsi="仿宋" w:eastAsia="仿宋" w:cs="仿宋"/>
                <w:color w:val="auto"/>
                <w:sz w:val="21"/>
                <w:szCs w:val="21"/>
                <w:highlight w:val="yellow"/>
                <w:u w:val="single"/>
                <w:lang w:eastAsia="zh-CN"/>
              </w:rPr>
              <w:t>）</w:t>
            </w:r>
            <w:r>
              <w:rPr>
                <w:rFonts w:hint="eastAsia" w:ascii="仿宋" w:hAnsi="仿宋" w:eastAsia="仿宋" w:cs="仿宋"/>
                <w:color w:val="auto"/>
                <w:sz w:val="21"/>
                <w:szCs w:val="21"/>
                <w:highlight w:val="none"/>
                <w:u w:val="single"/>
              </w:rPr>
              <w:t xml:space="preserve"> </w:t>
            </w:r>
            <w:permEnd w:id="43"/>
            <w:r>
              <w:rPr>
                <w:rFonts w:hint="eastAsia" w:ascii="仿宋" w:hAnsi="仿宋" w:eastAsia="仿宋" w:cs="仿宋"/>
                <w:b w:val="0"/>
                <w:bCs w:val="0"/>
                <w:color w:val="auto"/>
                <w:sz w:val="21"/>
                <w:szCs w:val="21"/>
                <w:highlight w:val="none"/>
                <w:u w:val="single"/>
                <w:lang w:val="en-US" w:eastAsia="zh-CN" w:bidi="ar"/>
              </w:rPr>
              <w:t xml:space="preserve"> </w:t>
            </w:r>
            <w:r>
              <w:rPr>
                <w:rFonts w:hint="eastAsia" w:ascii="仿宋" w:hAnsi="仿宋" w:eastAsia="仿宋" w:cs="仿宋"/>
                <w:color w:val="auto"/>
                <w:sz w:val="21"/>
                <w:szCs w:val="21"/>
                <w:highlight w:val="none"/>
              </w:rPr>
              <w:t>，</w:t>
            </w:r>
            <w:r>
              <w:rPr>
                <w:rFonts w:hint="eastAsia" w:ascii="仿宋" w:hAnsi="仿宋" w:eastAsia="仿宋" w:cs="仿宋"/>
                <w:b w:val="0"/>
                <w:bCs w:val="0"/>
                <w:color w:val="auto"/>
                <w:kern w:val="0"/>
                <w:sz w:val="21"/>
                <w:szCs w:val="21"/>
                <w:highlight w:val="none"/>
              </w:rPr>
              <w:t>中标人</w:t>
            </w:r>
            <w:r>
              <w:rPr>
                <w:rFonts w:hint="eastAsia" w:ascii="仿宋" w:hAnsi="仿宋" w:eastAsia="仿宋" w:cs="仿宋"/>
                <w:b w:val="0"/>
                <w:bCs w:val="0"/>
                <w:color w:val="auto"/>
                <w:kern w:val="0"/>
                <w:sz w:val="21"/>
                <w:szCs w:val="21"/>
                <w:highlight w:val="none"/>
                <w:lang w:val="en-US" w:eastAsia="zh-CN"/>
              </w:rPr>
              <w:t>须</w:t>
            </w:r>
            <w:r>
              <w:rPr>
                <w:rFonts w:hint="eastAsia" w:ascii="仿宋" w:hAnsi="仿宋" w:eastAsia="仿宋" w:cs="仿宋"/>
                <w:b w:val="0"/>
                <w:bCs w:val="0"/>
                <w:color w:val="auto"/>
                <w:kern w:val="0"/>
                <w:sz w:val="21"/>
                <w:szCs w:val="21"/>
                <w:highlight w:val="none"/>
              </w:rPr>
              <w:t>于中标（成交）通知书下发之日起5个工作日内缴纳完成，未在规定时间内缴纳完成的视为放弃中标，将按集团“黑名单”管理办法进行处罚。履约保证金返还时间以合同约定为准。</w:t>
            </w:r>
            <w:r>
              <w:rPr>
                <w:rFonts w:hint="eastAsia" w:ascii="仿宋" w:hAnsi="仿宋" w:eastAsia="仿宋" w:cs="仿宋"/>
                <w:color w:val="auto"/>
                <w:sz w:val="21"/>
                <w:szCs w:val="21"/>
                <w:highlight w:val="none"/>
              </w:rPr>
              <w:t>履约保证金</w:t>
            </w:r>
            <w:r>
              <w:rPr>
                <w:rFonts w:hint="eastAsia" w:ascii="仿宋" w:hAnsi="仿宋" w:eastAsia="仿宋" w:cs="仿宋"/>
                <w:b w:val="0"/>
                <w:bCs w:val="0"/>
                <w:color w:val="auto"/>
                <w:kern w:val="0"/>
                <w:sz w:val="21"/>
                <w:szCs w:val="21"/>
                <w:highlight w:val="none"/>
              </w:rPr>
              <w:t>缴</w:t>
            </w:r>
            <w:r>
              <w:rPr>
                <w:rFonts w:hint="eastAsia" w:ascii="仿宋" w:hAnsi="仿宋" w:eastAsia="仿宋" w:cs="仿宋"/>
                <w:color w:val="auto"/>
                <w:sz w:val="21"/>
                <w:szCs w:val="21"/>
                <w:highlight w:val="none"/>
              </w:rPr>
              <w:t>纳账户如下：</w:t>
            </w:r>
          </w:p>
          <w:p w14:paraId="4236EDC1">
            <w:pPr>
              <w:keepNext w:val="0"/>
              <w:keepLines w:val="0"/>
              <w:pageBreakBefore w:val="0"/>
              <w:widowControl w:val="0"/>
              <w:kinsoku/>
              <w:wordWrap/>
              <w:overflowPunct/>
              <w:topLinePunct w:val="0"/>
              <w:bidi w:val="0"/>
              <w:spacing w:line="260" w:lineRule="exact"/>
              <w:textAlignment w:val="auto"/>
              <w:rPr>
                <w:rFonts w:hint="eastAsia" w:ascii="仿宋" w:hAnsi="仿宋" w:eastAsia="仿宋" w:cs="仿宋"/>
                <w:color w:val="auto"/>
                <w:kern w:val="0"/>
                <w:sz w:val="21"/>
                <w:szCs w:val="21"/>
                <w:highlight w:val="none"/>
              </w:rPr>
            </w:pPr>
            <w:r>
              <w:rPr>
                <w:rFonts w:hint="eastAsia" w:ascii="仿宋" w:hAnsi="仿宋" w:eastAsia="仿宋" w:cs="仿宋"/>
                <w:color w:val="auto"/>
                <w:sz w:val="21"/>
                <w:szCs w:val="21"/>
                <w:highlight w:val="none"/>
                <w:lang w:eastAsia="zh-Hans"/>
              </w:rPr>
              <w:t>户名：</w:t>
            </w:r>
            <w:permStart w:id="44" w:edGrp="everyone"/>
            <w:r>
              <w:rPr>
                <w:rFonts w:hint="eastAsia" w:ascii="仿宋" w:hAnsi="仿宋" w:eastAsia="仿宋" w:cs="仿宋"/>
                <w:color w:val="auto"/>
                <w:sz w:val="21"/>
                <w:szCs w:val="21"/>
                <w:highlight w:val="none"/>
                <w:u w:val="single"/>
                <w:lang w:val="en-US" w:eastAsia="zh-CN"/>
              </w:rPr>
              <w:t xml:space="preserve"> </w:t>
            </w:r>
            <w:r>
              <w:rPr>
                <w:rFonts w:hint="eastAsia" w:ascii="仿宋" w:hAnsi="仿宋" w:eastAsia="仿宋" w:cs="仿宋"/>
                <w:color w:val="auto"/>
                <w:szCs w:val="21"/>
                <w:highlight w:val="none"/>
                <w:u w:val="single"/>
              </w:rPr>
              <w:t>中国建设银行长沙木莲东路支行</w:t>
            </w:r>
            <w:r>
              <w:rPr>
                <w:rFonts w:hint="eastAsia" w:ascii="仿宋" w:hAnsi="仿宋" w:eastAsia="仿宋" w:cs="仿宋"/>
                <w:color w:val="auto"/>
                <w:sz w:val="21"/>
                <w:szCs w:val="21"/>
                <w:highlight w:val="none"/>
                <w:u w:val="single"/>
                <w:lang w:val="en-US" w:eastAsia="zh-CN"/>
              </w:rPr>
              <w:t xml:space="preserve">  </w:t>
            </w:r>
            <w:permEnd w:id="44"/>
            <w:r>
              <w:rPr>
                <w:rFonts w:hint="eastAsia" w:ascii="仿宋" w:hAnsi="仿宋" w:eastAsia="仿宋" w:cs="仿宋"/>
                <w:color w:val="auto"/>
                <w:sz w:val="21"/>
                <w:szCs w:val="21"/>
                <w:highlight w:val="none"/>
                <w:u w:val="single"/>
                <w:lang w:eastAsia="zh-Hans"/>
              </w:rPr>
              <w:br w:type="textWrapping"/>
            </w:r>
            <w:r>
              <w:rPr>
                <w:rFonts w:hint="eastAsia" w:ascii="仿宋" w:hAnsi="仿宋" w:eastAsia="仿宋" w:cs="仿宋"/>
                <w:color w:val="auto"/>
                <w:sz w:val="21"/>
                <w:szCs w:val="21"/>
                <w:highlight w:val="none"/>
                <w:lang w:eastAsia="zh-Hans"/>
              </w:rPr>
              <w:t>开户行：</w:t>
            </w:r>
            <w:permStart w:id="45" w:edGrp="everyone"/>
            <w:r>
              <w:rPr>
                <w:rFonts w:hint="eastAsia" w:ascii="仿宋" w:hAnsi="仿宋" w:eastAsia="仿宋" w:cs="仿宋"/>
                <w:color w:val="auto"/>
                <w:szCs w:val="21"/>
                <w:highlight w:val="none"/>
                <w:u w:val="single"/>
              </w:rPr>
              <w:t>安徽水利开发有限公司</w:t>
            </w:r>
            <w:permEnd w:id="45"/>
            <w:r>
              <w:rPr>
                <w:rFonts w:hint="eastAsia" w:ascii="仿宋" w:hAnsi="仿宋" w:eastAsia="仿宋" w:cs="仿宋"/>
                <w:color w:val="auto"/>
                <w:sz w:val="21"/>
                <w:szCs w:val="21"/>
                <w:highlight w:val="none"/>
                <w:u w:val="single"/>
                <w:lang w:eastAsia="zh-Hans"/>
              </w:rPr>
              <w:br w:type="textWrapping"/>
            </w:r>
            <w:r>
              <w:rPr>
                <w:rFonts w:hint="eastAsia" w:ascii="仿宋" w:hAnsi="仿宋" w:eastAsia="仿宋" w:cs="仿宋"/>
                <w:color w:val="auto"/>
                <w:sz w:val="21"/>
                <w:szCs w:val="21"/>
                <w:highlight w:val="none"/>
                <w:lang w:eastAsia="zh-Hans"/>
              </w:rPr>
              <w:t>子账号：</w:t>
            </w:r>
            <w:r>
              <w:rPr>
                <w:rFonts w:hint="eastAsia" w:ascii="仿宋" w:hAnsi="仿宋" w:eastAsia="仿宋" w:cs="仿宋"/>
                <w:color w:val="auto"/>
                <w:sz w:val="21"/>
                <w:szCs w:val="21"/>
                <w:highlight w:val="none"/>
                <w:u w:val="single"/>
                <w:lang w:val="en-US" w:eastAsia="zh-CN"/>
              </w:rPr>
              <w:t xml:space="preserve"> </w:t>
            </w:r>
            <w:permStart w:id="46" w:edGrp="everyone"/>
            <w:r>
              <w:rPr>
                <w:rFonts w:ascii="仿宋" w:hAnsi="仿宋" w:eastAsia="仿宋" w:cs="仿宋"/>
                <w:color w:val="auto"/>
                <w:szCs w:val="21"/>
                <w:highlight w:val="none"/>
                <w:u w:val="single"/>
              </w:rPr>
              <w:t>4305 0180 3836 0000 0402</w:t>
            </w:r>
            <w:permEnd w:id="46"/>
          </w:p>
        </w:tc>
      </w:tr>
      <w:tr w14:paraId="75F38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3632" w:hRule="atLeast"/>
          <w:jc w:val="center"/>
        </w:trPr>
        <w:tc>
          <w:tcPr>
            <w:tcW w:w="571" w:type="dxa"/>
            <w:noWrap w:val="0"/>
            <w:vAlign w:val="center"/>
          </w:tcPr>
          <w:p w14:paraId="79ACE52D">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20</w:t>
            </w:r>
          </w:p>
        </w:tc>
        <w:tc>
          <w:tcPr>
            <w:tcW w:w="1721" w:type="dxa"/>
            <w:noWrap w:val="0"/>
            <w:vAlign w:val="center"/>
          </w:tcPr>
          <w:p w14:paraId="4DD6020E">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重要提示</w:t>
            </w:r>
          </w:p>
        </w:tc>
        <w:tc>
          <w:tcPr>
            <w:tcW w:w="6981" w:type="dxa"/>
            <w:noWrap w:val="0"/>
            <w:vAlign w:val="center"/>
          </w:tcPr>
          <w:p w14:paraId="12362488">
            <w:pPr>
              <w:spacing w:line="280" w:lineRule="exact"/>
              <w:rPr>
                <w:rFonts w:hint="eastAsia"/>
                <w:sz w:val="21"/>
                <w:szCs w:val="21"/>
                <w:lang w:val="en-US" w:eastAsia="zh-CN"/>
              </w:rPr>
            </w:pPr>
            <w:r>
              <w:rPr>
                <w:rFonts w:hint="eastAsia"/>
                <w:sz w:val="21"/>
                <w:szCs w:val="21"/>
                <w:lang w:val="en-US" w:eastAsia="zh-CN"/>
              </w:rPr>
              <w:t>1.</w:t>
            </w:r>
            <w:r>
              <w:rPr>
                <w:rFonts w:hint="eastAsia" w:ascii="仿宋" w:hAnsi="仿宋" w:eastAsia="仿宋" w:cs="仿宋"/>
                <w:b w:val="0"/>
                <w:bCs w:val="0"/>
                <w:color w:val="auto"/>
                <w:kern w:val="0"/>
                <w:sz w:val="21"/>
                <w:szCs w:val="21"/>
                <w:highlight w:val="none"/>
                <w:lang w:val="en-US" w:eastAsia="zh-CN"/>
              </w:rPr>
              <w:t>若投标人报价清单子目单价中存在不平衡报价，在合同签订前，招标人有权在总价不变的情况下，对中标人单价进行调整（按招标人控制价同比例调整），中标人须接受，否则取消中标资格，纳入公司”黄名单“管理，暂停投标1年。</w:t>
            </w:r>
            <w:r>
              <w:rPr>
                <w:rFonts w:hint="eastAsia"/>
                <w:sz w:val="21"/>
                <w:szCs w:val="21"/>
                <w:lang w:val="en-US" w:eastAsia="zh-CN"/>
              </w:rPr>
              <w:t xml:space="preserve">                                                       </w:t>
            </w:r>
          </w:p>
          <w:p w14:paraId="1BD621D1">
            <w:pPr>
              <w:spacing w:line="280" w:lineRule="exact"/>
              <w:rPr>
                <w:rFonts w:hint="eastAsia" w:ascii="仿宋" w:hAnsi="仿宋" w:eastAsia="仿宋" w:cs="仿宋"/>
                <w:b w:val="0"/>
                <w:bCs w:val="0"/>
                <w:color w:val="auto"/>
                <w:kern w:val="0"/>
                <w:sz w:val="21"/>
                <w:szCs w:val="21"/>
                <w:highlight w:val="none"/>
                <w:lang w:val="en-US" w:eastAsia="zh-CN"/>
              </w:rPr>
            </w:pPr>
            <w:r>
              <w:rPr>
                <w:rFonts w:hint="eastAsia"/>
                <w:sz w:val="21"/>
                <w:szCs w:val="21"/>
                <w:lang w:val="en-US" w:eastAsia="zh-CN"/>
              </w:rPr>
              <w:t>2.</w:t>
            </w:r>
            <w:r>
              <w:rPr>
                <w:rFonts w:hint="eastAsia" w:ascii="仿宋" w:hAnsi="仿宋" w:eastAsia="仿宋" w:cs="仿宋"/>
                <w:b w:val="0"/>
                <w:bCs w:val="0"/>
                <w:color w:val="auto"/>
                <w:kern w:val="0"/>
                <w:sz w:val="21"/>
                <w:szCs w:val="21"/>
                <w:highlight w:val="none"/>
                <w:lang w:val="en-US" w:eastAsia="zh-CN"/>
              </w:rPr>
              <w:t>投标文件格式中的赔偿协议书由投标人填写，赔偿金额为人民币</w:t>
            </w:r>
            <w:permStart w:id="47" w:edGrp="everyone"/>
            <w:r>
              <w:rPr>
                <w:rFonts w:hint="eastAsia" w:ascii="仿宋" w:hAnsi="仿宋" w:eastAsia="仿宋" w:cs="仿宋"/>
                <w:b w:val="0"/>
                <w:bCs w:val="0"/>
                <w:color w:val="auto"/>
                <w:kern w:val="0"/>
                <w:sz w:val="21"/>
                <w:szCs w:val="21"/>
                <w:highlight w:val="none"/>
                <w:lang w:val="en-US" w:eastAsia="zh-CN"/>
              </w:rPr>
              <w:t xml:space="preserve"> </w:t>
            </w:r>
            <w:r>
              <w:rPr>
                <w:rFonts w:hint="eastAsia" w:ascii="仿宋" w:hAnsi="仿宋" w:eastAsia="仿宋" w:cs="仿宋"/>
                <w:b/>
                <w:bCs/>
                <w:color w:val="000000"/>
                <w:kern w:val="2"/>
                <w:sz w:val="21"/>
                <w:szCs w:val="21"/>
                <w:highlight w:val="none"/>
                <w:u w:val="single"/>
                <w:lang w:val="en-US" w:eastAsia="zh-CN" w:bidi="ar-SA"/>
              </w:rPr>
              <w:t>贰万</w:t>
            </w:r>
            <w:r>
              <w:rPr>
                <w:rFonts w:hint="eastAsia" w:ascii="仿宋" w:hAnsi="仿宋" w:eastAsia="仿宋" w:cs="仿宋"/>
                <w:b w:val="0"/>
                <w:bCs w:val="0"/>
                <w:color w:val="auto"/>
                <w:kern w:val="0"/>
                <w:sz w:val="21"/>
                <w:szCs w:val="21"/>
                <w:highlight w:val="none"/>
                <w:lang w:val="en-US" w:eastAsia="zh-CN"/>
              </w:rPr>
              <w:t xml:space="preserve">  </w:t>
            </w:r>
            <w:permEnd w:id="47"/>
            <w:r>
              <w:rPr>
                <w:rFonts w:hint="eastAsia" w:ascii="仿宋" w:hAnsi="仿宋" w:eastAsia="仿宋" w:cs="仿宋"/>
                <w:b w:val="0"/>
                <w:bCs w:val="0"/>
                <w:color w:val="auto"/>
                <w:kern w:val="0"/>
                <w:sz w:val="21"/>
                <w:szCs w:val="21"/>
                <w:highlight w:val="none"/>
                <w:lang w:val="en-US" w:eastAsia="zh-CN"/>
              </w:rPr>
              <w:t>元， 未填报或赔偿金额小于招标文件规定金额的投标文件无效。</w:t>
            </w:r>
          </w:p>
          <w:p w14:paraId="1FFAF44F">
            <w:pPr>
              <w:spacing w:line="280" w:lineRule="exact"/>
              <w:rPr>
                <w:rFonts w:hint="eastAsia" w:ascii="仿宋" w:hAnsi="仿宋" w:eastAsia="仿宋" w:cs="仿宋"/>
                <w:b w:val="0"/>
                <w:bCs w:val="0"/>
                <w:color w:val="auto"/>
                <w:kern w:val="0"/>
                <w:sz w:val="21"/>
                <w:szCs w:val="21"/>
                <w:highlight w:val="none"/>
                <w:lang w:val="en-US" w:eastAsia="zh-CN"/>
              </w:rPr>
            </w:pPr>
            <w:r>
              <w:rPr>
                <w:rFonts w:hint="eastAsia"/>
                <w:sz w:val="21"/>
                <w:szCs w:val="21"/>
                <w:lang w:val="en-US" w:eastAsia="zh-CN"/>
              </w:rPr>
              <w:t>3</w:t>
            </w:r>
            <w:r>
              <w:rPr>
                <w:rFonts w:hint="eastAsia" w:ascii="仿宋" w:hAnsi="仿宋" w:eastAsia="仿宋" w:cs="仿宋"/>
                <w:b w:val="0"/>
                <w:bCs w:val="0"/>
                <w:color w:val="auto"/>
                <w:kern w:val="0"/>
                <w:sz w:val="21"/>
                <w:szCs w:val="21"/>
                <w:highlight w:val="none"/>
                <w:lang w:val="en-US" w:eastAsia="zh-CN"/>
              </w:rPr>
              <w:t>.</w:t>
            </w:r>
            <w:permStart w:id="48" w:edGrp="everyone"/>
            <w:r>
              <w:rPr>
                <w:rFonts w:hint="eastAsia" w:ascii="仿宋" w:hAnsi="仿宋" w:eastAsia="仿宋" w:cs="仿宋"/>
                <w:color w:val="auto"/>
                <w:sz w:val="21"/>
                <w:szCs w:val="21"/>
                <w:highlight w:val="none"/>
                <w:lang w:val="en-US" w:eastAsia="zh-CN"/>
              </w:rPr>
              <w:t>合同金额在500万以上的招标事项，招标人有权使用15%的结算款用于“工抵房”，在每期结算付款时暂扣。中标人须在安徽长城置业集团有限公司旗下在售商品房中选择至少一套住宅或商业（底商、商业街或者是开发的商业类公寓产品，住宅或商业价格与案场优惠价格保持一致），按合同金额的15%进行计算抵扣，不足一套的按一套计，若中标人拒签工抵房协议，不履行工抵房条款，招标人有权将中标人纳入公司“黄名单管理”，情节严重的纳入集团“黑名单”管理。（房源信息见附件，实际房源以现场为准）。</w:t>
            </w:r>
            <w:permEnd w:id="48"/>
            <w:r>
              <w:rPr>
                <w:rFonts w:hint="eastAsia" w:ascii="仿宋" w:hAnsi="仿宋" w:eastAsia="仿宋" w:cs="仿宋"/>
                <w:b w:val="0"/>
                <w:bCs w:val="0"/>
                <w:color w:val="auto"/>
                <w:kern w:val="0"/>
                <w:sz w:val="21"/>
                <w:szCs w:val="21"/>
                <w:highlight w:val="none"/>
                <w:lang w:val="en-US" w:eastAsia="zh-CN"/>
              </w:rPr>
              <w:t>。</w:t>
            </w:r>
          </w:p>
          <w:p w14:paraId="6229BCA1">
            <w:pPr>
              <w:spacing w:line="280" w:lineRule="exact"/>
              <w:rPr>
                <w:rFonts w:hint="default" w:ascii="仿宋" w:hAnsi="仿宋" w:eastAsia="仿宋" w:cs="仿宋"/>
                <w:b w:val="0"/>
                <w:bCs w:val="0"/>
                <w:color w:val="auto"/>
                <w:kern w:val="0"/>
                <w:sz w:val="21"/>
                <w:szCs w:val="21"/>
                <w:highlight w:val="none"/>
                <w:lang w:val="en-US" w:eastAsia="zh-CN"/>
              </w:rPr>
            </w:pPr>
            <w:r>
              <w:rPr>
                <w:rFonts w:hint="eastAsia" w:ascii="仿宋" w:hAnsi="仿宋" w:eastAsia="仿宋" w:cs="仿宋"/>
                <w:b w:val="0"/>
                <w:bCs w:val="0"/>
                <w:color w:val="auto"/>
                <w:kern w:val="0"/>
                <w:sz w:val="21"/>
                <w:szCs w:val="21"/>
                <w:highlight w:val="none"/>
                <w:lang w:val="en-US" w:eastAsia="zh-CN"/>
              </w:rPr>
              <w:t>4.招标人和中标人在投标有效期内以及中标（成交）通知书发出之日起10个工作日内（以先到为准）签订合同。</w:t>
            </w:r>
          </w:p>
        </w:tc>
      </w:tr>
      <w:tr w14:paraId="6F4FB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97" w:hRule="atLeast"/>
          <w:jc w:val="center"/>
        </w:trPr>
        <w:tc>
          <w:tcPr>
            <w:tcW w:w="571" w:type="dxa"/>
            <w:noWrap w:val="0"/>
            <w:vAlign w:val="center"/>
          </w:tcPr>
          <w:p w14:paraId="3939583C">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jc w:val="center"/>
              <w:textAlignment w:val="auto"/>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21</w:t>
            </w:r>
          </w:p>
        </w:tc>
        <w:tc>
          <w:tcPr>
            <w:tcW w:w="1721" w:type="dxa"/>
            <w:noWrap w:val="0"/>
            <w:vAlign w:val="center"/>
          </w:tcPr>
          <w:p w14:paraId="46EA7CBF">
            <w:pPr>
              <w:keepNext w:val="0"/>
              <w:keepLines w:val="0"/>
              <w:pageBreakBefore w:val="0"/>
              <w:widowControl w:val="0"/>
              <w:kinsoku/>
              <w:wordWrap/>
              <w:overflowPunct/>
              <w:topLinePunct w:val="0"/>
              <w:autoSpaceDE w:val="0"/>
              <w:autoSpaceDN w:val="0"/>
              <w:bidi w:val="0"/>
              <w:adjustRightInd w:val="0"/>
              <w:spacing w:before="100" w:beforeAutospacing="1" w:after="100" w:afterAutospacing="1" w:line="260" w:lineRule="exact"/>
              <w:ind w:left="90" w:leftChars="43" w:right="223" w:rightChars="106"/>
              <w:jc w:val="center"/>
              <w:textAlignment w:val="auto"/>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其它</w:t>
            </w:r>
          </w:p>
        </w:tc>
        <w:tc>
          <w:tcPr>
            <w:tcW w:w="6981" w:type="dxa"/>
            <w:noWrap w:val="0"/>
            <w:vAlign w:val="center"/>
          </w:tcPr>
          <w:p w14:paraId="3C63E501">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投标人有下列情形之一的，不论已评审与否，其投标均无效：</w:t>
            </w:r>
          </w:p>
          <w:p w14:paraId="0565B849">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（1）处于被责令停产停业或解散、暂扣或者吊销执照、暂扣或者吊销许可证、吊销资质证书状态；</w:t>
            </w:r>
          </w:p>
          <w:p w14:paraId="7B16CC80">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（2）进入清算程序，或被宣告破产，或其他丧失履约能力的情形；</w:t>
            </w:r>
          </w:p>
          <w:p w14:paraId="37EB07B4">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（3）财产被接管或冻结等重大财务风险的；</w:t>
            </w:r>
          </w:p>
          <w:p w14:paraId="4E5F629B">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（4）在最近三年内发生重大工程质量或重大安全事故被通报或处罚，影响其履约行为的；</w:t>
            </w:r>
          </w:p>
          <w:p w14:paraId="6AE27747">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（5）不同投标人的单位负责人为同一人或存在控股、管理关系的，参加同一标段（包）或者未划分标段（包）投标的。</w:t>
            </w:r>
          </w:p>
          <w:p w14:paraId="6E60C803">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2.</w:t>
            </w:r>
            <w:r>
              <w:rPr>
                <w:rFonts w:hint="eastAsia" w:ascii="仿宋" w:hAnsi="仿宋" w:eastAsia="仿宋" w:cs="仿宋"/>
                <w:b/>
                <w:bCs/>
                <w:color w:val="auto"/>
                <w:sz w:val="21"/>
                <w:szCs w:val="21"/>
                <w:highlight w:val="none"/>
              </w:rPr>
              <w:t>评标后在天眼查</w:t>
            </w:r>
            <w:r>
              <w:rPr>
                <w:rFonts w:hint="eastAsia" w:ascii="仿宋" w:hAnsi="仿宋" w:eastAsia="仿宋" w:cs="仿宋"/>
                <w:b/>
                <w:bCs/>
                <w:color w:val="auto"/>
                <w:sz w:val="21"/>
                <w:szCs w:val="21"/>
                <w:highlight w:val="none"/>
              </w:rPr>
              <w:drawing>
                <wp:inline distT="0" distB="0" distL="114300" distR="114300">
                  <wp:extent cx="190500" cy="142875"/>
                  <wp:effectExtent l="0" t="0" r="0" b="9525"/>
                  <wp:docPr id="2"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IMG_256"/>
                          <pic:cNvPicPr>
                            <a:picLocks noChangeAspect="1"/>
                          </pic:cNvPicPr>
                        </pic:nvPicPr>
                        <pic:blipFill>
                          <a:blip r:embed="rId9"/>
                          <a:stretch>
                            <a:fillRect/>
                          </a:stretch>
                        </pic:blipFill>
                        <pic:spPr>
                          <a:xfrm>
                            <a:off x="0" y="0"/>
                            <a:ext cx="190500" cy="142875"/>
                          </a:xfrm>
                          <a:prstGeom prst="rect">
                            <a:avLst/>
                          </a:prstGeom>
                          <a:noFill/>
                          <a:ln>
                            <a:noFill/>
                          </a:ln>
                        </pic:spPr>
                      </pic:pic>
                    </a:graphicData>
                  </a:graphic>
                </wp:inline>
              </w:drawing>
            </w:r>
            <w:r>
              <w:rPr>
                <w:rFonts w:hint="eastAsia" w:ascii="仿宋" w:hAnsi="仿宋" w:eastAsia="仿宋" w:cs="仿宋"/>
                <w:b/>
                <w:bCs/>
                <w:color w:val="auto"/>
                <w:sz w:val="21"/>
                <w:szCs w:val="21"/>
                <w:highlight w:val="none"/>
              </w:rPr>
              <w:t>https://www.tianyancha.com/</w:t>
            </w:r>
            <w:r>
              <w:rPr>
                <w:rFonts w:hint="eastAsia" w:ascii="仿宋" w:hAnsi="仿宋" w:eastAsia="仿宋" w:cs="仿宋"/>
                <w:b/>
                <w:bCs/>
                <w:color w:val="auto"/>
                <w:sz w:val="21"/>
                <w:szCs w:val="21"/>
                <w:highlight w:val="none"/>
                <w:lang w:val="en-US" w:eastAsia="zh-CN"/>
              </w:rPr>
              <w:t>网站</w:t>
            </w:r>
            <w:r>
              <w:rPr>
                <w:rFonts w:hint="eastAsia" w:ascii="仿宋" w:hAnsi="仿宋" w:eastAsia="仿宋" w:cs="仿宋"/>
                <w:b/>
                <w:bCs/>
                <w:color w:val="auto"/>
                <w:sz w:val="21"/>
                <w:szCs w:val="21"/>
                <w:highlight w:val="none"/>
              </w:rPr>
              <w:t>查询推荐中标候选人</w:t>
            </w:r>
            <w:r>
              <w:rPr>
                <w:rFonts w:hint="eastAsia" w:ascii="仿宋" w:hAnsi="仿宋" w:eastAsia="仿宋" w:cs="仿宋"/>
                <w:b/>
                <w:bCs/>
                <w:color w:val="auto"/>
                <w:sz w:val="21"/>
                <w:szCs w:val="21"/>
                <w:highlight w:val="none"/>
                <w:lang w:val="en-US" w:eastAsia="zh-CN"/>
              </w:rPr>
              <w:t>失信情况</w:t>
            </w:r>
            <w:r>
              <w:rPr>
                <w:rFonts w:hint="eastAsia" w:ascii="仿宋" w:hAnsi="仿宋" w:eastAsia="仿宋" w:cs="仿宋"/>
                <w:b/>
                <w:bCs/>
                <w:color w:val="auto"/>
                <w:sz w:val="21"/>
                <w:szCs w:val="21"/>
                <w:highlight w:val="none"/>
              </w:rPr>
              <w:t>，如为失信</w:t>
            </w:r>
            <w:r>
              <w:rPr>
                <w:rFonts w:hint="eastAsia" w:ascii="仿宋" w:hAnsi="仿宋" w:eastAsia="仿宋" w:cs="仿宋"/>
                <w:b/>
                <w:bCs/>
                <w:color w:val="auto"/>
                <w:sz w:val="21"/>
                <w:szCs w:val="21"/>
                <w:highlight w:val="none"/>
                <w:lang w:val="en-US" w:eastAsia="zh-CN"/>
              </w:rPr>
              <w:t>单位</w:t>
            </w:r>
            <w:r>
              <w:rPr>
                <w:rFonts w:hint="eastAsia" w:ascii="仿宋" w:hAnsi="仿宋" w:eastAsia="仿宋" w:cs="仿宋"/>
                <w:b/>
                <w:bCs/>
                <w:color w:val="auto"/>
                <w:sz w:val="21"/>
                <w:szCs w:val="21"/>
                <w:highlight w:val="none"/>
              </w:rPr>
              <w:t>，则取消中标资格。</w:t>
            </w:r>
          </w:p>
          <w:p w14:paraId="4DA59C8A">
            <w:pPr>
              <w:keepNext w:val="0"/>
              <w:keepLines w:val="0"/>
              <w:pageBreakBefore w:val="0"/>
              <w:widowControl w:val="0"/>
              <w:numPr>
                <w:ilvl w:val="0"/>
                <w:numId w:val="0"/>
              </w:numPr>
              <w:kinsoku/>
              <w:wordWrap/>
              <w:overflowPunct/>
              <w:topLinePunct w:val="0"/>
              <w:bidi w:val="0"/>
              <w:snapToGrid w:val="0"/>
              <w:spacing w:line="260" w:lineRule="exact"/>
              <w:ind w:leftChars="0"/>
              <w:jc w:val="left"/>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3.招标文件各条款与本“投标须知前附表”条款不一致的，以本表条款为准。</w:t>
            </w:r>
          </w:p>
          <w:p w14:paraId="49A33E6D">
            <w:pPr>
              <w:pStyle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w:t>
            </w:r>
          </w:p>
          <w:p w14:paraId="183FBEF8">
            <w:pPr>
              <w:pStyle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1.为共享安徽建工集团集中采购成果、助力投标人降低建材采购成本，现鼓励各投标人在“皖建云商”平台注册并采购相关产品。若投标人已完成“皖建云商”平台注册，可将注册成功截图附在投标文件中。</w:t>
            </w:r>
          </w:p>
          <w:p w14:paraId="02C9DE86">
            <w:pPr>
              <w:pStyle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2.皖建云商注册流程：</w:t>
            </w:r>
          </w:p>
          <w:p w14:paraId="3B368BDB">
            <w:pPr>
              <w:pStyle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（1）登录www.wjys365.com进入皖建云商平台，点击平台首页【登录/注册】，在登录页面点击【采购商注册】；</w:t>
            </w:r>
          </w:p>
          <w:p w14:paraId="230D9E50">
            <w:pPr>
              <w:pStyle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（2）根据页面提示填写采购商资料，上传营业执照与企业授权书（需公司盖章及法人签字）；</w:t>
            </w:r>
          </w:p>
          <w:p w14:paraId="7FD029A8">
            <w:pPr>
              <w:pStyle w:val="9"/>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（3）提交成功后，预计1个工作日，审核结果将以短信形式发送至注册手机号码。审核通过后，采购商可使用注册手机号及短信中的登录口令进入采购商后台，进行商品采购等操作；</w:t>
            </w:r>
          </w:p>
          <w:p w14:paraId="1BF5C31D">
            <w:pPr>
              <w:pStyle w:val="9"/>
              <w:rPr>
                <w:rFonts w:hint="default"/>
                <w:lang w:val="en-US"/>
              </w:rPr>
            </w:pPr>
            <w:r>
              <w:rPr>
                <w:rFonts w:hint="eastAsia" w:ascii="仿宋" w:hAnsi="仿宋" w:eastAsia="仿宋" w:cs="仿宋"/>
                <w:color w:val="auto"/>
                <w:sz w:val="21"/>
                <w:szCs w:val="21"/>
                <w:highlight w:val="none"/>
                <w:lang w:val="en-US" w:eastAsia="zh-CN"/>
              </w:rPr>
              <w:t>（4）温馨提示：为提高审核效率，投标人可电话联系皖建云商后台审核人员。联系人：章先生：055166186590；张女士：055166181837。</w:t>
            </w:r>
          </w:p>
        </w:tc>
      </w:tr>
    </w:tbl>
    <w:p w14:paraId="4421ED22">
      <w:pPr>
        <w:bidi w:val="0"/>
        <w:rPr>
          <w:rFonts w:hint="eastAsia"/>
          <w:b/>
          <w:bCs/>
          <w:color w:val="auto"/>
          <w:sz w:val="21"/>
          <w:szCs w:val="21"/>
        </w:rPr>
      </w:pPr>
      <w:bookmarkStart w:id="9" w:name="_Toc58340074"/>
      <w:bookmarkStart w:id="10" w:name="_Toc497314750"/>
      <w:bookmarkStart w:id="11" w:name="_Toc439064186"/>
      <w:bookmarkStart w:id="12" w:name="_Toc246996176"/>
      <w:bookmarkStart w:id="13" w:name="_Toc246996919"/>
      <w:bookmarkStart w:id="14" w:name="_Toc247085690"/>
      <w:bookmarkStart w:id="15" w:name="_Toc179632547"/>
      <w:bookmarkStart w:id="16" w:name="_Toc152045530"/>
      <w:bookmarkStart w:id="17" w:name="_Toc144974498"/>
      <w:bookmarkStart w:id="18" w:name="_Toc152042306"/>
      <w:bookmarkStart w:id="19" w:name="_Toc439064190"/>
      <w:bookmarkStart w:id="20" w:name="_Toc179632552"/>
      <w:bookmarkStart w:id="21" w:name="_Toc497314754"/>
      <w:bookmarkStart w:id="22" w:name="_Toc152045535"/>
      <w:bookmarkStart w:id="23" w:name="_Toc152042311"/>
      <w:bookmarkStart w:id="24" w:name="_Toc144974510"/>
      <w:bookmarkStart w:id="25" w:name="_Toc152045542"/>
      <w:bookmarkStart w:id="26" w:name="_Toc246996930"/>
      <w:bookmarkStart w:id="27" w:name="_Toc179632560"/>
      <w:bookmarkStart w:id="28" w:name="_Toc247085701"/>
      <w:bookmarkStart w:id="29" w:name="_Toc246996187"/>
      <w:bookmarkStart w:id="30" w:name="_Toc246996923"/>
      <w:bookmarkStart w:id="31" w:name="_Toc246996180"/>
      <w:bookmarkStart w:id="32" w:name="_Toc144974503"/>
      <w:bookmarkStart w:id="33" w:name="_Toc152042318"/>
      <w:bookmarkStart w:id="34" w:name="_Toc247085694"/>
      <w:bookmarkStart w:id="35" w:name="_Toc481760082"/>
      <w:r>
        <w:rPr>
          <w:rFonts w:hint="eastAsia"/>
          <w:b/>
          <w:bCs/>
          <w:color w:val="auto"/>
          <w:sz w:val="21"/>
          <w:szCs w:val="21"/>
        </w:rPr>
        <w:t>1. 总则</w:t>
      </w:r>
      <w:bookmarkEnd w:id="9"/>
      <w:bookmarkEnd w:id="10"/>
    </w:p>
    <w:bookmarkEnd w:id="11"/>
    <w:bookmarkEnd w:id="12"/>
    <w:bookmarkEnd w:id="13"/>
    <w:bookmarkEnd w:id="14"/>
    <w:bookmarkEnd w:id="15"/>
    <w:bookmarkEnd w:id="16"/>
    <w:bookmarkEnd w:id="17"/>
    <w:bookmarkEnd w:id="18"/>
    <w:p w14:paraId="59A0BB2B">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1.1 费用承担</w:t>
      </w:r>
    </w:p>
    <w:p w14:paraId="090161CC">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投标人准备和参加投标活动发生的费用自理。投标人应承担其编制投标文件与递交投标文件等投标过程中所涉及的一切费用，不论投标结果如何，招标人均不予承担。</w:t>
      </w:r>
    </w:p>
    <w:p w14:paraId="66D9DF49">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1.2 保密</w:t>
      </w:r>
    </w:p>
    <w:p w14:paraId="270251E9">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参与招标投标活动的各方应对招标文件和投标文件中的商业和技术等秘密保密，违者应对由此造成的后果承担法律责任。 </w:t>
      </w:r>
    </w:p>
    <w:p w14:paraId="37869D44">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1.3 语言文字</w:t>
      </w:r>
    </w:p>
    <w:p w14:paraId="16C086E5">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招标投标文件使用的语言文字为中文。专用术语使用外文的，应附有中文注释。</w:t>
      </w:r>
    </w:p>
    <w:p w14:paraId="4F912F97">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1.4 计量单位</w:t>
      </w:r>
    </w:p>
    <w:p w14:paraId="647E4E5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所有计量均采用中华人民共和国法定计量单位。</w:t>
      </w:r>
    </w:p>
    <w:p w14:paraId="695E3618">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1.5 踏勘现场</w:t>
      </w:r>
    </w:p>
    <w:p w14:paraId="295A418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1.5.1 投标人须知前附表规定组织踏勘现场的，投标人应按</w:t>
      </w:r>
      <w:r>
        <w:rPr>
          <w:rFonts w:hint="eastAsia" w:ascii="仿宋" w:hAnsi="仿宋" w:eastAsia="仿宋" w:cs="仿宋"/>
          <w:color w:val="auto"/>
          <w:sz w:val="21"/>
          <w:szCs w:val="21"/>
          <w:highlight w:val="none"/>
          <w:lang w:val="en-US" w:eastAsia="zh-CN"/>
        </w:rPr>
        <w:t>投</w:t>
      </w:r>
      <w:r>
        <w:rPr>
          <w:rFonts w:hint="eastAsia" w:ascii="仿宋" w:hAnsi="仿宋" w:eastAsia="仿宋" w:cs="仿宋"/>
          <w:color w:val="auto"/>
          <w:sz w:val="21"/>
          <w:szCs w:val="21"/>
          <w:highlight w:val="none"/>
        </w:rPr>
        <w:t>标须知前附表规定的时间、地点参加踏勘项目现场</w:t>
      </w:r>
      <w:bookmarkStart w:id="36" w:name="_Hlk497291673"/>
      <w:r>
        <w:rPr>
          <w:rFonts w:hint="eastAsia" w:ascii="仿宋" w:hAnsi="仿宋" w:eastAsia="仿宋" w:cs="仿宋"/>
          <w:color w:val="auto"/>
          <w:sz w:val="21"/>
          <w:szCs w:val="21"/>
          <w:highlight w:val="none"/>
        </w:rPr>
        <w:t>；投标人未在规定时间、地点参加的，视同已参加</w:t>
      </w:r>
      <w:bookmarkEnd w:id="36"/>
      <w:r>
        <w:rPr>
          <w:rFonts w:hint="eastAsia" w:ascii="仿宋" w:hAnsi="仿宋" w:eastAsia="仿宋" w:cs="仿宋"/>
          <w:color w:val="auto"/>
          <w:sz w:val="21"/>
          <w:szCs w:val="21"/>
          <w:highlight w:val="none"/>
        </w:rPr>
        <w:t>。（若有）</w:t>
      </w:r>
    </w:p>
    <w:p w14:paraId="15A01185">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1.5.2 投标须知前附表规定自行踏勘现场的，投标人应自行对工程现场及周围环境进行踏勘现场以获得有关编制投标文件和签署合同所涉及现场的资料。</w:t>
      </w:r>
    </w:p>
    <w:p w14:paraId="18AB0887">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1.5.3 投标人踏勘现场发生的费用自理，自行负责踏勘现场时的人身和财产安全。</w:t>
      </w:r>
    </w:p>
    <w:p w14:paraId="68656F48">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1.5.4 投标人未到施工现场实地踏勘的，在开评标以及中标后签订合同、履约过程中，不得再以不完全了解现场情况为由，提出任何形式拒签合同、增加工程造价或索赔的要求。</w:t>
      </w:r>
    </w:p>
    <w:p w14:paraId="55CD8FC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1.5.5 招标人在踏勘现场中介绍的工程场地和相关的周边环境情况以及招标人提供的本合同工程的参考资料（若有），仅供投标人在编制投标文件时参考，招标人不对投标人据此作出的判断和决策负责。</w:t>
      </w:r>
    </w:p>
    <w:p w14:paraId="6D6BD78A">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1.6 偏离</w:t>
      </w:r>
    </w:p>
    <w:p w14:paraId="3BB2837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投标须知前附表允许投标文件偏离招标文件某些要求的，偏离应当符合招标文件规定的偏离范围和幅度。偏离即偏差，偏差分重大偏差和细微偏差。</w:t>
      </w:r>
    </w:p>
    <w:p w14:paraId="0FD9456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投标文件中存在有重大偏差的，由评标委员会评审后按无效标处理；投标文件中存在有细微偏差的，评标委员会可要求投标人进行澄清，只有投标人的澄清文件被评标委员会接受，其投标文件才能继续参加评审。</w:t>
      </w:r>
    </w:p>
    <w:p w14:paraId="55EAB76F">
      <w:pPr>
        <w:bidi w:val="0"/>
        <w:rPr>
          <w:rFonts w:hint="eastAsia"/>
          <w:color w:val="auto"/>
          <w:sz w:val="21"/>
          <w:szCs w:val="21"/>
        </w:rPr>
      </w:pPr>
      <w:r>
        <w:rPr>
          <w:rFonts w:hint="eastAsia"/>
          <w:color w:val="auto"/>
          <w:sz w:val="21"/>
          <w:szCs w:val="21"/>
        </w:rPr>
        <w:t>2. 招标文件</w:t>
      </w:r>
    </w:p>
    <w:p w14:paraId="10C9F253">
      <w:pPr>
        <w:spacing w:line="320" w:lineRule="exact"/>
        <w:rPr>
          <w:rFonts w:hint="eastAsia" w:ascii="仿宋" w:hAnsi="仿宋" w:eastAsia="仿宋" w:cs="仿宋"/>
          <w:b/>
          <w:color w:val="auto"/>
          <w:kern w:val="0"/>
          <w:sz w:val="21"/>
          <w:szCs w:val="21"/>
          <w:highlight w:val="none"/>
        </w:rPr>
      </w:pPr>
      <w:bookmarkStart w:id="37" w:name="_Toc247085702"/>
      <w:bookmarkStart w:id="38" w:name="_Toc144974511"/>
      <w:bookmarkStart w:id="39" w:name="_Toc497314761"/>
      <w:bookmarkStart w:id="40" w:name="_Toc152042319"/>
      <w:bookmarkStart w:id="41" w:name="_Toc246996188"/>
      <w:bookmarkStart w:id="42" w:name="_Toc246996931"/>
      <w:bookmarkStart w:id="43" w:name="_Toc179632561"/>
      <w:bookmarkStart w:id="44" w:name="_Toc152045543"/>
      <w:bookmarkStart w:id="45" w:name="_Toc439064199"/>
      <w:r>
        <w:rPr>
          <w:rFonts w:hint="eastAsia" w:ascii="仿宋" w:hAnsi="仿宋" w:eastAsia="仿宋" w:cs="仿宋"/>
          <w:b/>
          <w:color w:val="auto"/>
          <w:kern w:val="0"/>
          <w:sz w:val="21"/>
          <w:szCs w:val="21"/>
          <w:highlight w:val="none"/>
        </w:rPr>
        <w:t>2.1 招标文件的组成</w:t>
      </w:r>
      <w:bookmarkEnd w:id="37"/>
      <w:bookmarkEnd w:id="38"/>
      <w:bookmarkEnd w:id="39"/>
      <w:bookmarkEnd w:id="40"/>
      <w:bookmarkEnd w:id="41"/>
      <w:bookmarkEnd w:id="42"/>
      <w:bookmarkEnd w:id="43"/>
      <w:bookmarkEnd w:id="44"/>
      <w:bookmarkEnd w:id="45"/>
    </w:p>
    <w:p w14:paraId="0B80FB22">
      <w:pPr>
        <w:spacing w:line="32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2.1.1 本招标文件包括：</w:t>
      </w:r>
    </w:p>
    <w:p w14:paraId="689399A4">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（1）招标公告（或投标邀请书）；</w:t>
      </w:r>
    </w:p>
    <w:p w14:paraId="43F293C8">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（2）投标人须知；</w:t>
      </w:r>
    </w:p>
    <w:p w14:paraId="1C0DC437">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（3）评标办法；</w:t>
      </w:r>
    </w:p>
    <w:p w14:paraId="32586F59">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（4）合同条款及格式；</w:t>
      </w:r>
    </w:p>
    <w:p w14:paraId="71F4DA7B">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（5）工程量清单； </w:t>
      </w:r>
    </w:p>
    <w:p w14:paraId="08BCFC5A">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（6）图纸（如有）；</w:t>
      </w:r>
    </w:p>
    <w:p w14:paraId="426CEE80">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（7）技术标准和招标项目要求（如有）； </w:t>
      </w:r>
    </w:p>
    <w:p w14:paraId="2E8B9658">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（8）投标文件格式；</w:t>
      </w:r>
    </w:p>
    <w:p w14:paraId="40ED92A1">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（9）投标人须知前附表规定的其他材料。</w:t>
      </w:r>
    </w:p>
    <w:p w14:paraId="4FB7FE5C">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2.1.2根据本章第2.2 条对招标文件所作的澄清、修改，构成招标文件的组成部分。当招标文件、招标文件的澄清或修改等在同一内容的表述上不一致时，以最后发出的文件为准。</w:t>
      </w:r>
    </w:p>
    <w:p w14:paraId="4C369586">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构成本招标文件的各个组成文件应互为解释、互为说明，如有不明确或不一致的，构成合同组成内容的，以合同文件约定内容为准。同一文件就同一事项的约定不一致的，以逻辑顺序在后者为准。按本款前述规定仍不能形成结论的，由招标人或其委托的招标部门负责解释。</w:t>
      </w:r>
    </w:p>
    <w:p w14:paraId="2C38135A">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 xml:space="preserve">2.2 招标文件的答疑、补遗、澄清或修改 </w:t>
      </w:r>
    </w:p>
    <w:p w14:paraId="6FF2C3B4">
      <w:pPr>
        <w:spacing w:line="400" w:lineRule="exact"/>
        <w:ind w:firstLine="420" w:firstLineChars="200"/>
        <w:rPr>
          <w:rFonts w:hint="eastAsia" w:ascii="仿宋" w:hAnsi="仿宋" w:eastAsia="仿宋" w:cs="仿宋"/>
          <w:color w:val="auto"/>
          <w:sz w:val="21"/>
          <w:szCs w:val="21"/>
          <w:highlight w:val="none"/>
        </w:rPr>
      </w:pPr>
      <w:bookmarkStart w:id="46" w:name="_Toc246996933"/>
      <w:bookmarkStart w:id="47" w:name="_Toc246996190"/>
      <w:bookmarkStart w:id="48" w:name="_Toc247085704"/>
      <w:bookmarkStart w:id="49" w:name="_Toc439064201"/>
      <w:bookmarkStart w:id="50" w:name="_Toc144974513"/>
      <w:bookmarkStart w:id="51" w:name="_Toc152045545"/>
      <w:bookmarkStart w:id="52" w:name="_Toc152042321"/>
      <w:bookmarkStart w:id="53" w:name="_Toc179632563"/>
      <w:bookmarkStart w:id="54" w:name="_Hlk511226926"/>
      <w:bookmarkStart w:id="55" w:name="_Toc58340076"/>
      <w:r>
        <w:rPr>
          <w:rFonts w:hint="eastAsia" w:ascii="仿宋" w:hAnsi="仿宋" w:eastAsia="仿宋" w:cs="仿宋"/>
          <w:color w:val="auto"/>
          <w:sz w:val="21"/>
          <w:szCs w:val="21"/>
          <w:highlight w:val="none"/>
        </w:rPr>
        <w:t>2.2.1投标人应仔细阅读和检查招标文件的全部内容，若有疑问应在投标须知规定的时间前登录供应商系统，找到“项目投标”，选择“项目流程”，点击“提问”新增提问。投标人提问申请内容填写必须明确，且以加盖公章扫描件及可编辑电子版在提问申请模块中“附件信息”内上传，否则不予受理。</w:t>
      </w:r>
    </w:p>
    <w:p w14:paraId="509582EB">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2.2.2招标文件发送后，在投标截止时间前的任何时间，招标人可以通过补遗的方式修改招标文件内容。</w:t>
      </w:r>
      <w:r>
        <w:rPr>
          <w:rFonts w:hint="eastAsia" w:ascii="仿宋" w:hAnsi="仿宋" w:eastAsia="仿宋" w:cs="仿宋"/>
          <w:color w:val="auto"/>
          <w:sz w:val="21"/>
          <w:szCs w:val="21"/>
          <w:highlight w:val="none"/>
        </w:rPr>
        <w:cr/>
      </w:r>
      <w:r>
        <w:rPr>
          <w:rFonts w:hint="eastAsia" w:ascii="仿宋" w:hAnsi="仿宋" w:eastAsia="仿宋" w:cs="仿宋"/>
          <w:color w:val="auto"/>
          <w:sz w:val="21"/>
          <w:szCs w:val="21"/>
          <w:highlight w:val="none"/>
        </w:rPr>
        <w:t xml:space="preserve">    </w:t>
      </w:r>
      <w:bookmarkEnd w:id="46"/>
      <w:bookmarkEnd w:id="47"/>
      <w:bookmarkEnd w:id="48"/>
      <w:bookmarkEnd w:id="49"/>
      <w:bookmarkEnd w:id="50"/>
      <w:bookmarkEnd w:id="51"/>
      <w:bookmarkEnd w:id="52"/>
      <w:bookmarkEnd w:id="53"/>
      <w:r>
        <w:rPr>
          <w:rFonts w:hint="eastAsia" w:ascii="仿宋" w:hAnsi="仿宋" w:eastAsia="仿宋" w:cs="仿宋"/>
          <w:color w:val="auto"/>
          <w:sz w:val="21"/>
          <w:szCs w:val="21"/>
          <w:highlight w:val="none"/>
        </w:rPr>
        <w:t>2.2.3如有答疑、补遗、澄清或修改，招标人将于投标截止时间前</w:t>
      </w:r>
      <w:r>
        <w:rPr>
          <w:rFonts w:hint="eastAsia" w:ascii="仿宋" w:hAnsi="仿宋" w:eastAsia="仿宋" w:cs="仿宋"/>
          <w:b/>
          <w:bCs/>
          <w:color w:val="auto"/>
          <w:sz w:val="21"/>
          <w:szCs w:val="21"/>
          <w:highlight w:val="none"/>
          <w:u w:val="single"/>
        </w:rPr>
        <w:t xml:space="preserve"> 2 </w:t>
      </w:r>
      <w:r>
        <w:rPr>
          <w:rFonts w:hint="eastAsia" w:ascii="仿宋" w:hAnsi="仿宋" w:eastAsia="仿宋" w:cs="仿宋"/>
          <w:color w:val="auto"/>
          <w:sz w:val="21"/>
          <w:szCs w:val="21"/>
          <w:highlight w:val="none"/>
        </w:rPr>
        <w:t>天在招采平台发布，请投标人自行查看并登录投标人系统，找到对应项目下载变更后招标文件，并在投标文件制作工具中打开变更后招标文件，制作投标文件上传，否则无法上传投标文件。答疑和补遗为招标文件的组成部分，任何口头或电话咨询、答复等非书面形式均无效。</w:t>
      </w:r>
    </w:p>
    <w:p w14:paraId="4CF265D4">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rPr>
        <w:t>招标人对投标人提出的问题将予以澄清、修改、补充，澄清、修改、补充仅包括对问题的解释，但不说明问题的来源。</w:t>
      </w:r>
      <w:bookmarkEnd w:id="54"/>
    </w:p>
    <w:p w14:paraId="64297511">
      <w:pPr>
        <w:bidi w:val="0"/>
        <w:rPr>
          <w:rFonts w:hint="eastAsia"/>
          <w:color w:val="auto"/>
          <w:sz w:val="21"/>
          <w:szCs w:val="21"/>
        </w:rPr>
      </w:pPr>
      <w:r>
        <w:rPr>
          <w:rFonts w:hint="eastAsia"/>
          <w:color w:val="auto"/>
          <w:sz w:val="21"/>
          <w:szCs w:val="21"/>
        </w:rPr>
        <w:t>3.投标文件</w:t>
      </w:r>
      <w:bookmarkEnd w:id="55"/>
    </w:p>
    <w:p w14:paraId="3AA57C00">
      <w:pPr>
        <w:spacing w:line="320" w:lineRule="exact"/>
        <w:rPr>
          <w:rFonts w:hint="eastAsia" w:ascii="仿宋" w:hAnsi="仿宋" w:eastAsia="仿宋" w:cs="仿宋"/>
          <w:b/>
          <w:color w:val="auto"/>
          <w:kern w:val="0"/>
          <w:sz w:val="21"/>
          <w:szCs w:val="21"/>
          <w:highlight w:val="none"/>
        </w:rPr>
      </w:pPr>
      <w:bookmarkStart w:id="56" w:name="_Toc481760086"/>
      <w:bookmarkStart w:id="57" w:name="_Toc439064204"/>
      <w:bookmarkStart w:id="58" w:name="_Toc152045547"/>
      <w:bookmarkStart w:id="59" w:name="_Toc246996192"/>
      <w:bookmarkStart w:id="60" w:name="_Toc247085706"/>
      <w:bookmarkStart w:id="61" w:name="_Toc246996935"/>
      <w:bookmarkStart w:id="62" w:name="_Toc152042323"/>
      <w:bookmarkStart w:id="63" w:name="_Toc144974515"/>
      <w:bookmarkStart w:id="64" w:name="_Toc179632565"/>
      <w:bookmarkStart w:id="65" w:name="_Toc144974516"/>
      <w:bookmarkStart w:id="66" w:name="_Toc247085707"/>
      <w:bookmarkStart w:id="67" w:name="_Toc246996193"/>
      <w:bookmarkStart w:id="68" w:name="_Toc179632566"/>
      <w:bookmarkStart w:id="69" w:name="_Toc152042324"/>
      <w:bookmarkStart w:id="70" w:name="_Toc152045548"/>
      <w:bookmarkStart w:id="71" w:name="_Toc246996936"/>
      <w:r>
        <w:rPr>
          <w:rFonts w:hint="eastAsia" w:ascii="仿宋" w:hAnsi="仿宋" w:eastAsia="仿宋" w:cs="仿宋"/>
          <w:b/>
          <w:color w:val="auto"/>
          <w:kern w:val="0"/>
          <w:sz w:val="21"/>
          <w:szCs w:val="21"/>
          <w:highlight w:val="none"/>
        </w:rPr>
        <w:t>3.1 投标文件的组成</w:t>
      </w:r>
      <w:bookmarkEnd w:id="56"/>
      <w:bookmarkEnd w:id="57"/>
      <w:bookmarkEnd w:id="58"/>
      <w:bookmarkEnd w:id="59"/>
      <w:bookmarkEnd w:id="60"/>
      <w:bookmarkEnd w:id="61"/>
      <w:bookmarkEnd w:id="62"/>
      <w:bookmarkEnd w:id="63"/>
      <w:bookmarkEnd w:id="64"/>
    </w:p>
    <w:p w14:paraId="282DA9C9">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3.1.1投标人须分别编制技术标（包含资格审查申请文件）、商务标。</w:t>
      </w:r>
    </w:p>
    <w:p w14:paraId="088CA62A">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3.1.2投标文件包括下列内容，投标人提交的投标文件应当使用招标文件所提供的投标文件全部格式编制投标文件，但表格可以按同样格式扩展。</w:t>
      </w:r>
    </w:p>
    <w:p w14:paraId="7BFF879D">
      <w:pPr>
        <w:spacing w:line="320" w:lineRule="exact"/>
        <w:ind w:firstLine="420" w:firstLineChars="200"/>
        <w:rPr>
          <w:rFonts w:hint="eastAsia" w:ascii="仿宋" w:hAnsi="仿宋" w:eastAsia="仿宋" w:cs="仿宋"/>
          <w:b/>
          <w:color w:val="auto"/>
          <w:sz w:val="21"/>
          <w:szCs w:val="21"/>
          <w:highlight w:val="none"/>
        </w:rPr>
      </w:pPr>
      <w:r>
        <w:rPr>
          <w:rFonts w:hint="eastAsia" w:ascii="仿宋" w:hAnsi="仿宋" w:eastAsia="仿宋" w:cs="仿宋"/>
          <w:color w:val="auto"/>
          <w:sz w:val="21"/>
          <w:szCs w:val="21"/>
          <w:highlight w:val="none"/>
        </w:rPr>
        <w:t>3.1.3 商务标投标文件</w:t>
      </w:r>
    </w:p>
    <w:p w14:paraId="038D2206">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投标函；</w:t>
      </w:r>
    </w:p>
    <w:p w14:paraId="0E145B6C">
      <w:pPr>
        <w:spacing w:line="320" w:lineRule="exact"/>
        <w:ind w:firstLine="630" w:firstLineChars="300"/>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已标价的采购清单</w:t>
      </w:r>
      <w:r>
        <w:rPr>
          <w:rFonts w:hint="eastAsia" w:ascii="仿宋" w:hAnsi="仿宋" w:eastAsia="仿宋" w:cs="仿宋"/>
          <w:color w:val="auto"/>
          <w:sz w:val="21"/>
          <w:szCs w:val="21"/>
          <w:highlight w:val="none"/>
          <w:lang w:eastAsia="zh-CN"/>
        </w:rPr>
        <w:t>；</w:t>
      </w:r>
    </w:p>
    <w:p w14:paraId="30DF8754">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投标报价需要的其他资料。</w:t>
      </w:r>
    </w:p>
    <w:p w14:paraId="65272398">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3.1.4 技术标投标文件</w:t>
      </w:r>
    </w:p>
    <w:p w14:paraId="7F9BF0C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3.1.4.1资格审查部分应包括以下内容：</w:t>
      </w:r>
    </w:p>
    <w:p w14:paraId="7DEE143D">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（1）法定代表人身份证明或附有法定代表人身份证明的授权委托书；</w:t>
      </w:r>
    </w:p>
    <w:p w14:paraId="44C800CA">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（2）投标保证金及开户许可证；</w:t>
      </w:r>
    </w:p>
    <w:p w14:paraId="58DE93EB">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（3）营业执照、纳税人证明；</w:t>
      </w:r>
    </w:p>
    <w:p w14:paraId="62780505">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（4）生产（制造）许可证（如有）、代理商授权（若有）；</w:t>
      </w:r>
    </w:p>
    <w:p w14:paraId="6FE5A800">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（5）供货业绩（如有）；</w:t>
      </w:r>
    </w:p>
    <w:p w14:paraId="78DC2006">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（6）相关承诺（如有）；</w:t>
      </w:r>
    </w:p>
    <w:p w14:paraId="7D554446">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（7）其他要求的相关资料以及投标人认为可增加其竞争力的其他资料；</w:t>
      </w:r>
    </w:p>
    <w:p w14:paraId="07F3670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3.1.4.2供货方案，包括下列内容：</w:t>
      </w:r>
    </w:p>
    <w:p w14:paraId="7EA76623">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 供货周期保证措施；</w:t>
      </w:r>
    </w:p>
    <w:p w14:paraId="38CCA788">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 供货质量保证措施；</w:t>
      </w:r>
    </w:p>
    <w:p w14:paraId="70F894D2">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 使用方法（或注意事项）；</w:t>
      </w:r>
    </w:p>
    <w:p w14:paraId="119CB500">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 质保；</w:t>
      </w:r>
    </w:p>
    <w:p w14:paraId="673E6AB7">
      <w:pPr>
        <w:spacing w:line="32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5</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有必要说明的其他内容。</w:t>
      </w:r>
    </w:p>
    <w:p w14:paraId="58D9A90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3.1.4.3技术标商务部分（如有，根据评标办法的评分标准编制）</w:t>
      </w:r>
    </w:p>
    <w:bookmarkEnd w:id="65"/>
    <w:bookmarkEnd w:id="66"/>
    <w:bookmarkEnd w:id="67"/>
    <w:bookmarkEnd w:id="68"/>
    <w:bookmarkEnd w:id="69"/>
    <w:bookmarkEnd w:id="70"/>
    <w:bookmarkEnd w:id="71"/>
    <w:p w14:paraId="4193E015">
      <w:pPr>
        <w:spacing w:line="320" w:lineRule="exact"/>
        <w:rPr>
          <w:rFonts w:hint="eastAsia" w:ascii="仿宋" w:hAnsi="仿宋" w:eastAsia="仿宋" w:cs="仿宋"/>
          <w:b/>
          <w:color w:val="auto"/>
          <w:kern w:val="0"/>
          <w:sz w:val="21"/>
          <w:szCs w:val="21"/>
          <w:highlight w:val="none"/>
        </w:rPr>
      </w:pPr>
      <w:bookmarkStart w:id="72" w:name="_Toc481760087"/>
      <w:bookmarkStart w:id="73" w:name="_Toc439064205"/>
      <w:r>
        <w:rPr>
          <w:rFonts w:hint="eastAsia" w:ascii="仿宋" w:hAnsi="仿宋" w:eastAsia="仿宋" w:cs="仿宋"/>
          <w:b/>
          <w:color w:val="auto"/>
          <w:kern w:val="0"/>
          <w:sz w:val="21"/>
          <w:szCs w:val="21"/>
          <w:highlight w:val="none"/>
        </w:rPr>
        <w:t>3.2 投标报价</w:t>
      </w:r>
      <w:bookmarkEnd w:id="72"/>
      <w:bookmarkEnd w:id="73"/>
    </w:p>
    <w:p w14:paraId="39BEE66A">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3.2.1 投标人应按“采购清单”的要求填写相应表格。</w:t>
      </w:r>
    </w:p>
    <w:p w14:paraId="46AE0D46">
      <w:pPr>
        <w:spacing w:line="320" w:lineRule="exact"/>
        <w:ind w:firstLine="420" w:firstLineChars="200"/>
        <w:rPr>
          <w:rFonts w:hint="eastAsia" w:ascii="仿宋" w:hAnsi="仿宋" w:eastAsia="仿宋" w:cs="仿宋"/>
          <w:color w:val="auto"/>
          <w:sz w:val="21"/>
          <w:szCs w:val="21"/>
          <w:highlight w:val="none"/>
        </w:rPr>
      </w:pPr>
      <w:bookmarkStart w:id="74" w:name="_Toc144974517"/>
      <w:bookmarkStart w:id="75" w:name="_Toc152042325"/>
      <w:bookmarkStart w:id="76" w:name="_Toc152045549"/>
      <w:bookmarkStart w:id="77" w:name="_Toc179632567"/>
      <w:r>
        <w:rPr>
          <w:rFonts w:hint="eastAsia" w:ascii="仿宋" w:hAnsi="仿宋" w:eastAsia="仿宋" w:cs="仿宋"/>
          <w:color w:val="auto"/>
          <w:sz w:val="21"/>
          <w:szCs w:val="21"/>
          <w:highlight w:val="none"/>
        </w:rPr>
        <w:t>3.2.2 招标人设有控制价的，投标人的投标报价不得超过控制价；</w:t>
      </w:r>
      <w:r>
        <w:rPr>
          <w:rFonts w:hint="eastAsia" w:ascii="仿宋" w:hAnsi="仿宋" w:eastAsia="仿宋" w:cs="仿宋"/>
          <w:color w:val="auto"/>
          <w:sz w:val="21"/>
          <w:szCs w:val="21"/>
          <w:highlight w:val="none"/>
          <w:lang w:eastAsia="zh-CN"/>
        </w:rPr>
        <w:t>若税率不同，投标人税前价不得超过税前控制价，</w:t>
      </w:r>
      <w:r>
        <w:rPr>
          <w:rFonts w:hint="eastAsia" w:ascii="仿宋" w:hAnsi="仿宋" w:eastAsia="仿宋" w:cs="仿宋"/>
          <w:color w:val="auto"/>
          <w:sz w:val="21"/>
          <w:szCs w:val="21"/>
          <w:highlight w:val="none"/>
        </w:rPr>
        <w:t>各单项设有控制价的，投标人</w:t>
      </w:r>
      <w:r>
        <w:rPr>
          <w:rFonts w:hint="eastAsia" w:ascii="仿宋" w:hAnsi="仿宋" w:eastAsia="仿宋" w:cs="仿宋"/>
          <w:color w:val="auto"/>
          <w:sz w:val="21"/>
          <w:szCs w:val="21"/>
          <w:highlight w:val="none"/>
          <w:lang w:val="en-US" w:eastAsia="zh-CN"/>
        </w:rPr>
        <w:t>的</w:t>
      </w:r>
      <w:r>
        <w:rPr>
          <w:rFonts w:hint="eastAsia" w:ascii="仿宋" w:hAnsi="仿宋" w:eastAsia="仿宋" w:cs="仿宋"/>
          <w:color w:val="auto"/>
          <w:sz w:val="21"/>
          <w:szCs w:val="21"/>
          <w:highlight w:val="none"/>
        </w:rPr>
        <w:t>各单项（子目）报价不得超过控制价。</w:t>
      </w:r>
    </w:p>
    <w:p w14:paraId="2FE454C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3.2.3</w:t>
      </w:r>
      <w:r>
        <w:rPr>
          <w:rFonts w:hint="eastAsia" w:ascii="仿宋" w:hAnsi="仿宋" w:eastAsia="仿宋" w:cs="仿宋"/>
          <w:bCs/>
          <w:color w:val="auto"/>
          <w:sz w:val="21"/>
          <w:szCs w:val="21"/>
          <w:highlight w:val="none"/>
        </w:rPr>
        <w:t>本次招标不接受恶意低价或严重不平衡报价，不保证最低价中标</w:t>
      </w:r>
      <w:r>
        <w:rPr>
          <w:rFonts w:hint="eastAsia" w:ascii="仿宋" w:hAnsi="仿宋" w:eastAsia="仿宋" w:cs="仿宋"/>
          <w:color w:val="auto"/>
          <w:sz w:val="21"/>
          <w:szCs w:val="21"/>
          <w:highlight w:val="none"/>
        </w:rPr>
        <w:t>。</w:t>
      </w:r>
    </w:p>
    <w:bookmarkEnd w:id="74"/>
    <w:bookmarkEnd w:id="75"/>
    <w:bookmarkEnd w:id="76"/>
    <w:bookmarkEnd w:id="77"/>
    <w:p w14:paraId="3C586D70">
      <w:pPr>
        <w:spacing w:line="320" w:lineRule="exact"/>
        <w:rPr>
          <w:rFonts w:hint="eastAsia" w:ascii="仿宋" w:hAnsi="仿宋" w:eastAsia="仿宋" w:cs="仿宋"/>
          <w:b/>
          <w:color w:val="auto"/>
          <w:kern w:val="0"/>
          <w:sz w:val="21"/>
          <w:szCs w:val="21"/>
          <w:highlight w:val="none"/>
        </w:rPr>
      </w:pPr>
      <w:bookmarkStart w:id="78" w:name="_Toc439064206"/>
      <w:bookmarkStart w:id="79" w:name="_Toc246996194"/>
      <w:bookmarkStart w:id="80" w:name="_Toc246996937"/>
      <w:bookmarkStart w:id="81" w:name="_Toc247085708"/>
      <w:bookmarkStart w:id="82" w:name="_Toc481760088"/>
      <w:r>
        <w:rPr>
          <w:rFonts w:hint="eastAsia" w:ascii="仿宋" w:hAnsi="仿宋" w:eastAsia="仿宋" w:cs="仿宋"/>
          <w:b/>
          <w:color w:val="auto"/>
          <w:kern w:val="0"/>
          <w:sz w:val="21"/>
          <w:szCs w:val="21"/>
          <w:highlight w:val="none"/>
        </w:rPr>
        <w:t>3.3 投标有效期</w:t>
      </w:r>
      <w:bookmarkEnd w:id="78"/>
      <w:bookmarkEnd w:id="79"/>
      <w:bookmarkEnd w:id="80"/>
      <w:bookmarkEnd w:id="81"/>
      <w:bookmarkEnd w:id="82"/>
    </w:p>
    <w:p w14:paraId="6D06D73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3.3.1 投标有效期见投标须知前附表。</w:t>
      </w:r>
    </w:p>
    <w:p w14:paraId="070521A6">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3.3.2 在投标有效期内，投标人撤回或修改其投标文件的，应承担招标文件和法律规定的责任。</w:t>
      </w:r>
    </w:p>
    <w:p w14:paraId="5C8101E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3.3.3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14:paraId="5A81286A">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3.4 投标保证金</w:t>
      </w:r>
    </w:p>
    <w:p w14:paraId="5145C292">
      <w:pPr>
        <w:spacing w:line="360" w:lineRule="auto"/>
        <w:ind w:firstLine="457" w:firstLineChars="218"/>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3.4.1</w:t>
      </w:r>
      <w:bookmarkStart w:id="83" w:name="_Hlk491784706"/>
      <w:r>
        <w:rPr>
          <w:rFonts w:hint="eastAsia" w:ascii="仿宋" w:hAnsi="仿宋" w:eastAsia="仿宋" w:cs="仿宋"/>
          <w:color w:val="auto"/>
          <w:sz w:val="21"/>
          <w:szCs w:val="21"/>
          <w:highlight w:val="none"/>
        </w:rPr>
        <w:t>投标人在递交投标文件的同时，应按投标人须知前附表规定的金额、形式递交投标保证金，并作为其投标文件的组成部分。</w:t>
      </w:r>
      <w:bookmarkEnd w:id="83"/>
    </w:p>
    <w:p w14:paraId="76D5F1BC">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3.4.2 投标人不按本章第3.4.1 条要求提交投标保证金的，其投标文件作无效标处理。</w:t>
      </w:r>
    </w:p>
    <w:p w14:paraId="2BF0D4B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3.4.3</w:t>
      </w:r>
      <w:bookmarkStart w:id="84" w:name="_Hlk491784745"/>
      <w:r>
        <w:rPr>
          <w:rFonts w:hint="eastAsia" w:ascii="仿宋" w:hAnsi="仿宋" w:eastAsia="仿宋" w:cs="仿宋"/>
          <w:color w:val="auto"/>
          <w:sz w:val="21"/>
          <w:szCs w:val="21"/>
          <w:highlight w:val="none"/>
        </w:rPr>
        <w:t>未中标投标人的投标保证金将在招标结果公示期满后15个工作日内予以退还（无息）。中标人的投标保证金在招标人与中标人签订合同并由招标人备案后15个工作日内予以退还（无息）。</w:t>
      </w:r>
    </w:p>
    <w:bookmarkEnd w:id="84"/>
    <w:p w14:paraId="63F73D9E">
      <w:pPr>
        <w:spacing w:line="400" w:lineRule="exact"/>
        <w:ind w:firstLine="420" w:firstLineChars="200"/>
        <w:rPr>
          <w:rFonts w:hint="eastAsia" w:ascii="仿宋" w:hAnsi="仿宋" w:eastAsia="仿宋" w:cs="仿宋"/>
          <w:color w:val="auto"/>
          <w:sz w:val="21"/>
          <w:szCs w:val="21"/>
          <w:highlight w:val="none"/>
        </w:rPr>
      </w:pPr>
      <w:bookmarkStart w:id="85" w:name="_Hlk496021245"/>
      <w:r>
        <w:rPr>
          <w:rFonts w:hint="eastAsia" w:ascii="仿宋" w:hAnsi="仿宋" w:eastAsia="仿宋" w:cs="仿宋"/>
          <w:color w:val="auto"/>
          <w:sz w:val="21"/>
          <w:szCs w:val="21"/>
          <w:highlight w:val="none"/>
        </w:rPr>
        <w:t>3.4.4若投标人发生以下任一种情况，其缴纳的投标保证金将不予退还：</w:t>
      </w:r>
    </w:p>
    <w:bookmarkEnd w:id="85"/>
    <w:p w14:paraId="3DE60F91">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（1）投标人在招标文件规定的投标文件有效期内撤销或修改其投标文件；</w:t>
      </w:r>
    </w:p>
    <w:p w14:paraId="12C54688">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（2）中标人放弃中标或在收到中标通知后</w:t>
      </w:r>
      <w:r>
        <w:rPr>
          <w:rFonts w:hint="eastAsia" w:ascii="仿宋" w:hAnsi="仿宋" w:eastAsia="仿宋" w:cs="仿宋"/>
          <w:b/>
          <w:bCs/>
          <w:color w:val="auto"/>
          <w:sz w:val="21"/>
          <w:szCs w:val="21"/>
          <w:highlight w:val="none"/>
          <w:lang w:val="en-US" w:eastAsia="zh-CN"/>
        </w:rPr>
        <w:t>在</w:t>
      </w:r>
      <w:r>
        <w:rPr>
          <w:rFonts w:hint="eastAsia" w:ascii="仿宋" w:hAnsi="仿宋" w:eastAsia="仿宋" w:cs="仿宋"/>
          <w:color w:val="auto"/>
          <w:kern w:val="0"/>
          <w:sz w:val="21"/>
          <w:szCs w:val="21"/>
          <w:highlight w:val="none"/>
          <w:lang w:val="en-US" w:eastAsia="zh-CN"/>
        </w:rPr>
        <w:t>招标人要求的期限内</w:t>
      </w:r>
      <w:r>
        <w:rPr>
          <w:rFonts w:hint="eastAsia" w:ascii="仿宋" w:hAnsi="仿宋" w:eastAsia="仿宋" w:cs="仿宋"/>
          <w:color w:val="auto"/>
          <w:sz w:val="21"/>
          <w:szCs w:val="21"/>
          <w:highlight w:val="none"/>
        </w:rPr>
        <w:t>拒签合同；中标人未能或拒绝按招标文件的要求提交合同履约保证金；</w:t>
      </w:r>
    </w:p>
    <w:p w14:paraId="5E6CAF91">
      <w:pPr>
        <w:pageBreakBefore w:val="0"/>
        <w:widowControl w:val="0"/>
        <w:kinsoku/>
        <w:wordWrap/>
        <w:overflowPunct/>
        <w:topLinePunct w:val="0"/>
        <w:autoSpaceDE/>
        <w:autoSpaceDN/>
        <w:bidi w:val="0"/>
        <w:adjustRightInd/>
        <w:snapToGrid/>
        <w:spacing w:line="34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（3）中标人在签订合同时向招标人提出附加条件。</w:t>
      </w:r>
    </w:p>
    <w:p w14:paraId="02B7DE59">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3.5 投标文件的编制</w:t>
      </w:r>
    </w:p>
    <w:p w14:paraId="00F77EF4">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3.5.1 投标文件应按招标文件规定的格式进行编写。</w:t>
      </w:r>
    </w:p>
    <w:p w14:paraId="481D9BE0">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3.5.2 投标文件应当对招标文件有关工期、投标有效期、质量要求、技术标准和要求、招标范围等实质性内容作出响应。 </w:t>
      </w:r>
    </w:p>
    <w:p w14:paraId="158818C0">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3.5.3投标文件的制作应满足以下规定： </w:t>
      </w:r>
    </w:p>
    <w:p w14:paraId="1CA1ED76">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（1）投标文件由投标人使用招采平台系统提供的“投标文件制作工具”制作生成。 “投标文件制作工具”可以通过招采平台系统下载。 </w:t>
      </w:r>
    </w:p>
    <w:p w14:paraId="0ABFE7A8">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 xml:space="preserve">）要求盖单位章和（或）签字处，投标人应加盖投标人单位CA电子印章和（或）法定代表人的个人电子印章/电子签名章。联合体投标的，除联合体协议书外，投标文件由联合体牵头人按上述规定加盖联合体牵头人单位CA电子印章和（或）法定代表人的个人电子印章/电子签名章。  </w:t>
      </w:r>
      <w:r>
        <w:rPr>
          <w:rFonts w:hint="eastAsia" w:ascii="仿宋" w:hAnsi="仿宋" w:eastAsia="仿宋" w:cs="仿宋"/>
          <w:color w:val="auto"/>
          <w:sz w:val="21"/>
          <w:szCs w:val="21"/>
          <w:highlight w:val="none"/>
          <w:lang w:bidi="ar"/>
        </w:rPr>
        <w:t xml:space="preserve"> </w:t>
      </w:r>
    </w:p>
    <w:p w14:paraId="14558FB1">
      <w:pPr>
        <w:bidi w:val="0"/>
        <w:rPr>
          <w:rFonts w:hint="eastAsia"/>
          <w:color w:val="auto"/>
          <w:sz w:val="21"/>
          <w:szCs w:val="21"/>
        </w:rPr>
      </w:pPr>
      <w:r>
        <w:rPr>
          <w:rFonts w:hint="eastAsia"/>
          <w:color w:val="auto"/>
          <w:sz w:val="21"/>
          <w:szCs w:val="21"/>
        </w:rPr>
        <w:t>4. 投标</w:t>
      </w:r>
      <w:r>
        <w:rPr>
          <w:rFonts w:hint="eastAsia"/>
          <w:color w:val="auto"/>
          <w:sz w:val="21"/>
          <w:szCs w:val="21"/>
          <w:lang w:val="en-US" w:eastAsia="zh-CN"/>
        </w:rPr>
        <w:t xml:space="preserve"> </w:t>
      </w:r>
    </w:p>
    <w:p w14:paraId="2AD113AB">
      <w:pPr>
        <w:pageBreakBefore w:val="0"/>
        <w:widowControl w:val="0"/>
        <w:kinsoku/>
        <w:wordWrap/>
        <w:overflowPunct/>
        <w:topLinePunct w:val="0"/>
        <w:autoSpaceDE/>
        <w:autoSpaceDN/>
        <w:bidi w:val="0"/>
        <w:adjustRightInd/>
        <w:snapToGrid/>
        <w:spacing w:line="340" w:lineRule="exact"/>
        <w:textAlignment w:val="auto"/>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4.1 投标文件的密封和标记</w:t>
      </w:r>
    </w:p>
    <w:p w14:paraId="3BB74A45">
      <w:pPr>
        <w:pageBreakBefore w:val="0"/>
        <w:widowControl w:val="0"/>
        <w:kinsoku/>
        <w:wordWrap/>
        <w:overflowPunct/>
        <w:topLinePunct w:val="0"/>
        <w:autoSpaceDE/>
        <w:autoSpaceDN/>
        <w:bidi w:val="0"/>
        <w:adjustRightInd/>
        <w:snapToGrid/>
        <w:spacing w:line="34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4.1.1投标文件应按照本章第3.5.3项要求制作并加密，未按要求加密的投标文件将被拒绝在招采平台系统中上传。 </w:t>
      </w:r>
    </w:p>
    <w:p w14:paraId="355D3A01">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4.2 投标文件的递交</w:t>
      </w:r>
    </w:p>
    <w:p w14:paraId="3E1E8D90">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4.2.1 投标人应当在</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投标须知前附表</w:t>
      </w:r>
      <w:r>
        <w:rPr>
          <w:rFonts w:hint="eastAsia" w:ascii="仿宋" w:hAnsi="仿宋" w:eastAsia="仿宋" w:cs="仿宋"/>
          <w:color w:val="auto"/>
          <w:sz w:val="21"/>
          <w:szCs w:val="21"/>
          <w:highlight w:val="none"/>
        </w:rPr>
        <w:t xml:space="preserve">”规定的投标截止时间前，将加密投标文件在招采平台系统中上传。   </w:t>
      </w:r>
    </w:p>
    <w:p w14:paraId="7D57B6C6">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4.2.2 投标人应当在投标截止时间前完成投标文件的传输递交（以接收到电子签收凭证为准），并可以补充、修改或者撤回投标文件。投标截止时间前未完成投标文件传输的，视为放弃投标。未按规定加密或投标截止时间后送达的投标文件，招采平台系统应当拒收。  </w:t>
      </w:r>
    </w:p>
    <w:p w14:paraId="380E576A">
      <w:pPr>
        <w:bidi w:val="0"/>
        <w:rPr>
          <w:rFonts w:hint="eastAsia"/>
          <w:color w:val="auto"/>
          <w:sz w:val="21"/>
          <w:szCs w:val="21"/>
        </w:rPr>
      </w:pPr>
      <w:r>
        <w:rPr>
          <w:rFonts w:hint="eastAsia"/>
          <w:color w:val="auto"/>
          <w:sz w:val="21"/>
          <w:szCs w:val="21"/>
        </w:rPr>
        <w:t>5. 开标</w:t>
      </w:r>
      <w:r>
        <w:rPr>
          <w:rFonts w:hint="eastAsia"/>
          <w:color w:val="auto"/>
          <w:sz w:val="21"/>
          <w:szCs w:val="21"/>
          <w:lang w:val="en-US" w:eastAsia="zh-CN"/>
        </w:rPr>
        <w:t xml:space="preserve"> </w:t>
      </w:r>
    </w:p>
    <w:p w14:paraId="40437978">
      <w:pPr>
        <w:spacing w:line="320" w:lineRule="exact"/>
        <w:rPr>
          <w:rFonts w:hint="eastAsia" w:ascii="仿宋" w:hAnsi="仿宋" w:eastAsia="仿宋" w:cs="仿宋"/>
          <w:b/>
          <w:color w:val="auto"/>
          <w:kern w:val="0"/>
          <w:sz w:val="21"/>
          <w:szCs w:val="21"/>
          <w:highlight w:val="none"/>
        </w:rPr>
      </w:pPr>
      <w:bookmarkStart w:id="86" w:name="_Toc246996204"/>
      <w:bookmarkStart w:id="87" w:name="_Toc144974528"/>
      <w:bookmarkStart w:id="88" w:name="_Toc179632578"/>
      <w:bookmarkStart w:id="89" w:name="_Toc439064215"/>
      <w:bookmarkStart w:id="90" w:name="_Toc481760094"/>
      <w:bookmarkStart w:id="91" w:name="_Toc246996947"/>
      <w:bookmarkStart w:id="92" w:name="_Toc247085718"/>
      <w:bookmarkStart w:id="93" w:name="_Toc152042336"/>
      <w:bookmarkStart w:id="94" w:name="_Toc152045560"/>
      <w:r>
        <w:rPr>
          <w:rFonts w:hint="eastAsia" w:ascii="仿宋" w:hAnsi="仿宋" w:eastAsia="仿宋" w:cs="仿宋"/>
          <w:b/>
          <w:color w:val="auto"/>
          <w:kern w:val="0"/>
          <w:sz w:val="21"/>
          <w:szCs w:val="21"/>
          <w:highlight w:val="none"/>
        </w:rPr>
        <w:t>5.1 开标时间和地点</w:t>
      </w:r>
      <w:bookmarkEnd w:id="86"/>
      <w:bookmarkEnd w:id="87"/>
      <w:bookmarkEnd w:id="88"/>
      <w:bookmarkEnd w:id="89"/>
      <w:bookmarkEnd w:id="90"/>
      <w:bookmarkEnd w:id="91"/>
      <w:bookmarkEnd w:id="92"/>
      <w:bookmarkEnd w:id="93"/>
      <w:bookmarkEnd w:id="94"/>
    </w:p>
    <w:p w14:paraId="599D70D0">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招标人在投标须知前附表的投标截止时间（开标时间），通过招采平台系统公开开标，所有投标人的法定代表人或其委托代理人应当准时参加。 </w:t>
      </w:r>
    </w:p>
    <w:p w14:paraId="011F1D92">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投标人若未派法定代表人或其委托代理人出席开标活动，视为该投标人默认开标结果。</w:t>
      </w:r>
    </w:p>
    <w:p w14:paraId="105C4ABA">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5.2 开标程序</w:t>
      </w:r>
    </w:p>
    <w:p w14:paraId="4CEE9C64">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主持人</w:t>
      </w:r>
      <w:r>
        <w:rPr>
          <w:rFonts w:hint="eastAsia" w:ascii="仿宋" w:hAnsi="仿宋" w:eastAsia="仿宋" w:cs="仿宋"/>
          <w:color w:val="auto"/>
          <w:sz w:val="21"/>
          <w:szCs w:val="21"/>
          <w:highlight w:val="none"/>
          <w:lang w:eastAsia="zh-Hans"/>
        </w:rPr>
        <w:t>（</w:t>
      </w:r>
      <w:r>
        <w:rPr>
          <w:rFonts w:hint="eastAsia" w:ascii="仿宋" w:hAnsi="仿宋" w:eastAsia="仿宋" w:cs="仿宋"/>
          <w:color w:val="auto"/>
          <w:sz w:val="21"/>
          <w:szCs w:val="21"/>
          <w:highlight w:val="none"/>
        </w:rPr>
        <w:t>开标工作人员</w:t>
      </w:r>
      <w:r>
        <w:rPr>
          <w:rFonts w:hint="eastAsia" w:ascii="仿宋" w:hAnsi="仿宋" w:eastAsia="仿宋" w:cs="仿宋"/>
          <w:color w:val="auto"/>
          <w:sz w:val="21"/>
          <w:szCs w:val="21"/>
          <w:highlight w:val="none"/>
          <w:lang w:eastAsia="zh-Hans"/>
        </w:rPr>
        <w:t>）在开标大厅网上开标</w:t>
      </w:r>
      <w:r>
        <w:rPr>
          <w:rFonts w:hint="eastAsia" w:ascii="仿宋" w:hAnsi="仿宋" w:eastAsia="仿宋" w:cs="仿宋"/>
          <w:color w:val="auto"/>
          <w:sz w:val="21"/>
          <w:szCs w:val="21"/>
          <w:highlight w:val="none"/>
        </w:rPr>
        <w:t>：</w:t>
      </w:r>
    </w:p>
    <w:p w14:paraId="21D772A6">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eastAsia="zh-Hans"/>
        </w:rPr>
        <w:t>公布投标人：到开标时间</w:t>
      </w:r>
      <w:r>
        <w:rPr>
          <w:rFonts w:hint="eastAsia" w:ascii="仿宋" w:hAnsi="仿宋" w:eastAsia="仿宋" w:cs="仿宋"/>
          <w:color w:val="auto"/>
          <w:sz w:val="21"/>
          <w:szCs w:val="21"/>
          <w:highlight w:val="none"/>
        </w:rPr>
        <w:t>工作人</w:t>
      </w:r>
      <w:r>
        <w:rPr>
          <w:rFonts w:hint="eastAsia" w:ascii="仿宋" w:hAnsi="仿宋" w:eastAsia="仿宋" w:cs="仿宋"/>
          <w:color w:val="auto"/>
          <w:sz w:val="21"/>
          <w:szCs w:val="21"/>
          <w:highlight w:val="none"/>
          <w:lang w:eastAsia="zh-Hans"/>
        </w:rPr>
        <w:t>员点击“公布投标人按钮”公布投标人</w:t>
      </w:r>
      <w:r>
        <w:rPr>
          <w:rFonts w:hint="eastAsia" w:ascii="仿宋" w:hAnsi="仿宋" w:eastAsia="仿宋" w:cs="仿宋"/>
          <w:color w:val="auto"/>
          <w:sz w:val="21"/>
          <w:szCs w:val="21"/>
          <w:highlight w:val="none"/>
        </w:rPr>
        <w:t>；</w:t>
      </w:r>
    </w:p>
    <w:p w14:paraId="6BE58831">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rPr>
      </w:pP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eastAsia="zh-Hans"/>
        </w:rPr>
        <w:t>文件解密：</w:t>
      </w:r>
      <w:r>
        <w:rPr>
          <w:rFonts w:hint="eastAsia" w:ascii="仿宋" w:hAnsi="仿宋" w:eastAsia="仿宋" w:cs="仿宋"/>
          <w:color w:val="auto"/>
          <w:sz w:val="21"/>
          <w:szCs w:val="21"/>
          <w:highlight w:val="none"/>
        </w:rPr>
        <w:t>工作人员</w:t>
      </w:r>
      <w:r>
        <w:rPr>
          <w:rFonts w:hint="eastAsia" w:ascii="仿宋" w:hAnsi="仿宋" w:eastAsia="仿宋" w:cs="仿宋"/>
          <w:color w:val="auto"/>
          <w:sz w:val="21"/>
          <w:szCs w:val="21"/>
          <w:highlight w:val="none"/>
          <w:lang w:eastAsia="zh-Hans"/>
        </w:rPr>
        <w:t>点击“招标人解密”按钮，投标人方可通过线上“开标签到解密”按钮进入开标大厅，插入CA锁进行投标人解密</w:t>
      </w:r>
      <w:r>
        <w:rPr>
          <w:rFonts w:hint="eastAsia" w:ascii="仿宋" w:hAnsi="仿宋" w:eastAsia="仿宋" w:cs="仿宋"/>
          <w:color w:val="auto"/>
          <w:sz w:val="21"/>
          <w:szCs w:val="21"/>
          <w:highlight w:val="none"/>
        </w:rPr>
        <w:t>；</w:t>
      </w:r>
      <w:r>
        <w:rPr>
          <w:rFonts w:hint="eastAsia" w:ascii="仿宋" w:hAnsi="仿宋" w:eastAsia="仿宋" w:cs="仿宋"/>
          <w:b/>
          <w:bCs/>
          <w:color w:val="auto"/>
          <w:sz w:val="21"/>
          <w:szCs w:val="21"/>
          <w:lang w:val="en-US" w:eastAsia="zh-CN"/>
        </w:rPr>
        <w:t>未在规定时间内解密的投标文件，投标无效，</w:t>
      </w:r>
      <w:r>
        <w:rPr>
          <w:rFonts w:hint="eastAsia" w:ascii="仿宋" w:hAnsi="仿宋" w:eastAsia="仿宋" w:cs="仿宋"/>
          <w:b/>
          <w:bCs/>
          <w:color w:val="auto"/>
          <w:sz w:val="21"/>
          <w:szCs w:val="21"/>
          <w:highlight w:val="none"/>
          <w:lang w:val="en-US" w:eastAsia="zh-CN"/>
        </w:rPr>
        <w:t>招标人有权退回。</w:t>
      </w:r>
    </w:p>
    <w:p w14:paraId="3C712414">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eastAsia="zh-Hans"/>
        </w:rPr>
        <w:t>导入文件：解密完成（已过有效解密时间）管理员点击“导入”按钮将投标文件导入目前的开评标系统</w:t>
      </w:r>
      <w:r>
        <w:rPr>
          <w:rFonts w:hint="eastAsia" w:ascii="仿宋" w:hAnsi="仿宋" w:eastAsia="仿宋" w:cs="仿宋"/>
          <w:color w:val="auto"/>
          <w:sz w:val="21"/>
          <w:szCs w:val="21"/>
          <w:highlight w:val="none"/>
        </w:rPr>
        <w:t>；</w:t>
      </w:r>
    </w:p>
    <w:p w14:paraId="1E323C7F">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eastAsia="zh-Hans"/>
        </w:rPr>
        <w:t>唱标：导入文件完成，在唱标页面</w:t>
      </w:r>
      <w:r>
        <w:rPr>
          <w:rFonts w:hint="eastAsia" w:ascii="仿宋" w:hAnsi="仿宋" w:eastAsia="仿宋" w:cs="仿宋"/>
          <w:color w:val="auto"/>
          <w:sz w:val="21"/>
          <w:szCs w:val="21"/>
          <w:highlight w:val="none"/>
        </w:rPr>
        <w:t>工作人</w:t>
      </w:r>
      <w:r>
        <w:rPr>
          <w:rFonts w:hint="eastAsia" w:ascii="仿宋" w:hAnsi="仿宋" w:eastAsia="仿宋" w:cs="仿宋"/>
          <w:color w:val="auto"/>
          <w:sz w:val="21"/>
          <w:szCs w:val="21"/>
          <w:highlight w:val="none"/>
          <w:lang w:eastAsia="zh-Hans"/>
        </w:rPr>
        <w:t>员和投标人均可看到所有投标人唱标信息</w:t>
      </w:r>
      <w:r>
        <w:rPr>
          <w:rFonts w:hint="eastAsia" w:ascii="仿宋" w:hAnsi="仿宋" w:eastAsia="仿宋" w:cs="仿宋"/>
          <w:color w:val="auto"/>
          <w:sz w:val="21"/>
          <w:szCs w:val="21"/>
          <w:highlight w:val="none"/>
        </w:rPr>
        <w:t>；</w:t>
      </w:r>
    </w:p>
    <w:p w14:paraId="68618065">
      <w:pPr>
        <w:pageBreakBefore w:val="0"/>
        <w:widowControl w:val="0"/>
        <w:kinsoku/>
        <w:wordWrap/>
        <w:overflowPunct/>
        <w:topLinePunct w:val="0"/>
        <w:autoSpaceDE/>
        <w:autoSpaceDN/>
        <w:bidi w:val="0"/>
        <w:adjustRightInd/>
        <w:snapToGrid/>
        <w:spacing w:line="340" w:lineRule="exact"/>
        <w:ind w:firstLine="457" w:firstLineChars="218"/>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（5）开标结束</w:t>
      </w:r>
      <w:r>
        <w:rPr>
          <w:rFonts w:hint="eastAsia" w:ascii="仿宋" w:hAnsi="仿宋" w:eastAsia="仿宋" w:cs="仿宋"/>
          <w:color w:val="auto"/>
          <w:sz w:val="21"/>
          <w:szCs w:val="21"/>
          <w:highlight w:val="none"/>
          <w:lang w:eastAsia="zh-Hans"/>
        </w:rPr>
        <w:t>：</w:t>
      </w:r>
      <w:r>
        <w:rPr>
          <w:rFonts w:hint="eastAsia" w:ascii="仿宋" w:hAnsi="仿宋" w:eastAsia="仿宋" w:cs="仿宋"/>
          <w:color w:val="auto"/>
          <w:sz w:val="21"/>
          <w:szCs w:val="21"/>
          <w:highlight w:val="none"/>
        </w:rPr>
        <w:t>工作人</w:t>
      </w:r>
      <w:r>
        <w:rPr>
          <w:rFonts w:hint="eastAsia" w:ascii="仿宋" w:hAnsi="仿宋" w:eastAsia="仿宋" w:cs="仿宋"/>
          <w:color w:val="auto"/>
          <w:sz w:val="21"/>
          <w:szCs w:val="21"/>
          <w:highlight w:val="none"/>
          <w:lang w:eastAsia="zh-Hans"/>
        </w:rPr>
        <w:t>员点击“开标结束”按钮结束开标</w:t>
      </w:r>
      <w:r>
        <w:rPr>
          <w:rFonts w:hint="eastAsia" w:ascii="仿宋" w:hAnsi="仿宋" w:eastAsia="仿宋" w:cs="仿宋"/>
          <w:color w:val="auto"/>
          <w:sz w:val="21"/>
          <w:szCs w:val="21"/>
          <w:highlight w:val="none"/>
        </w:rPr>
        <w:t>。</w:t>
      </w:r>
    </w:p>
    <w:p w14:paraId="409AF570">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5.3 开标异议</w:t>
      </w:r>
    </w:p>
    <w:p w14:paraId="118593C1">
      <w:pPr>
        <w:spacing w:line="320" w:lineRule="exact"/>
        <w:ind w:firstLine="359" w:firstLineChars="171"/>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投标人对开标有疑问的，应当在开标过程中提出；工作人员当场对疑问作出答复，并记入开标记录。疑问与答复应通过招采平台系统进行。</w:t>
      </w:r>
    </w:p>
    <w:p w14:paraId="41A1FC5A">
      <w:pPr>
        <w:bidi w:val="0"/>
        <w:rPr>
          <w:rFonts w:hint="eastAsia"/>
          <w:color w:val="auto"/>
          <w:sz w:val="21"/>
          <w:szCs w:val="21"/>
        </w:rPr>
      </w:pPr>
      <w:r>
        <w:rPr>
          <w:rFonts w:hint="eastAsia"/>
          <w:color w:val="auto"/>
          <w:sz w:val="21"/>
          <w:szCs w:val="21"/>
        </w:rPr>
        <w:t>6. 评标</w:t>
      </w:r>
    </w:p>
    <w:p w14:paraId="6637C3E6">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6.1 评标委员会</w:t>
      </w:r>
    </w:p>
    <w:p w14:paraId="0BA85A87">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6.1.1评标由招标人委托招标部门依法组建的评标委员会负责，评标委员会由招标人的代表，以及有关技术、经济等方面的专家组成。</w:t>
      </w:r>
    </w:p>
    <w:p w14:paraId="0E71996E">
      <w:pPr>
        <w:spacing w:line="320" w:lineRule="exact"/>
        <w:ind w:firstLine="420" w:firstLineChars="200"/>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6.1.2 评标委员会成员人数为五人及以上单数</w:t>
      </w:r>
      <w:r>
        <w:rPr>
          <w:rFonts w:hint="eastAsia" w:ascii="仿宋" w:hAnsi="仿宋" w:eastAsia="仿宋" w:cs="仿宋"/>
          <w:color w:val="auto"/>
          <w:sz w:val="21"/>
          <w:szCs w:val="21"/>
          <w:highlight w:val="none"/>
          <w:lang w:eastAsia="zh-CN"/>
        </w:rPr>
        <w:t>；</w:t>
      </w:r>
    </w:p>
    <w:p w14:paraId="4D36DF85">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6.1.3评标委员会成员有下列情形之一的，应当主动提出回避：</w:t>
      </w:r>
    </w:p>
    <w:p w14:paraId="4D20C556">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（1）投标人或者投标人主要负责人的近亲属；</w:t>
      </w:r>
    </w:p>
    <w:p w14:paraId="605CE8FF">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（2）与投标人有利害关系的，可能影响对投标公正评审的</w:t>
      </w:r>
      <w:r>
        <w:rPr>
          <w:rFonts w:hint="eastAsia" w:ascii="仿宋" w:hAnsi="仿宋" w:eastAsia="仿宋" w:cs="仿宋"/>
          <w:color w:val="auto"/>
          <w:sz w:val="21"/>
          <w:szCs w:val="21"/>
          <w:highlight w:val="none"/>
          <w:lang w:eastAsia="zh-CN"/>
        </w:rPr>
        <w:t>；</w:t>
      </w:r>
    </w:p>
    <w:p w14:paraId="7521D0E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val="en-US" w:eastAsia="zh-CN"/>
        </w:rPr>
        <w:t>招标事项的工作人员及监督人员不得担任本人负责招标管理和监督的评标委员会成员</w:t>
      </w:r>
      <w:r>
        <w:rPr>
          <w:rFonts w:hint="eastAsia" w:ascii="仿宋" w:hAnsi="仿宋" w:eastAsia="仿宋" w:cs="仿宋"/>
          <w:color w:val="auto"/>
          <w:sz w:val="21"/>
          <w:szCs w:val="21"/>
          <w:highlight w:val="none"/>
        </w:rPr>
        <w:t>；</w:t>
      </w:r>
    </w:p>
    <w:p w14:paraId="0323D22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（4）其他法律法规规定应当回避的情形；</w:t>
      </w:r>
    </w:p>
    <w:p w14:paraId="797EF409">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6.1.4评标委员会应当根据招标文件及其所列的评标办法，对投标文件进行系统</w:t>
      </w:r>
      <w:r>
        <w:rPr>
          <w:rFonts w:hint="eastAsia" w:ascii="仿宋" w:hAnsi="仿宋" w:eastAsia="仿宋" w:cs="仿宋"/>
          <w:color w:val="auto"/>
          <w:sz w:val="21"/>
          <w:szCs w:val="21"/>
          <w:highlight w:val="none"/>
          <w:lang w:eastAsia="zh-CN"/>
        </w:rPr>
        <w:t>的</w:t>
      </w:r>
      <w:r>
        <w:rPr>
          <w:rFonts w:hint="eastAsia" w:ascii="仿宋" w:hAnsi="仿宋" w:eastAsia="仿宋" w:cs="仿宋"/>
          <w:color w:val="auto"/>
          <w:sz w:val="21"/>
          <w:szCs w:val="21"/>
          <w:highlight w:val="none"/>
        </w:rPr>
        <w:t>评审和比较，向招标人推荐中标候选人或根据招标人的授权直接确定中标人。</w:t>
      </w:r>
    </w:p>
    <w:p w14:paraId="56498412">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6.2 评标原则</w:t>
      </w:r>
    </w:p>
    <w:p w14:paraId="1537EDA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遵循“公平、公正、科学、择优”的原则，推荐能够满足招标文件实质性要求和投标人须知规定数量的中标候选人。</w:t>
      </w:r>
    </w:p>
    <w:p w14:paraId="14793F9B">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6.3 评标</w:t>
      </w:r>
    </w:p>
    <w:p w14:paraId="38E3DFF0">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6.3.1 评标委员会按照第三章“评标办法”规定的方法、评审因素、标准和程序对投标文件进行评审。第三章“评标办法”没有规定的方法、评审因素和标准，不作为评标依据。</w:t>
      </w:r>
    </w:p>
    <w:p w14:paraId="70BE65C8">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6.3.2 各评委独立评审，提出评审意见，不受任何单位或者个人的干预。各评委对其各自评审结果负责，并在相关评审表、资料及评标报告上签字确认；对评标结论持有异议的评标委员会成员可以阐述其不同意见和理由；评标委员会成员拒绝在评标报告上签字且不陈述其不同意见和理由的，视为同意评标结论，评标委员会应当对此作出说明并记录在案。评标委员会在评审过程中意见不一致时，评审结果遵循少数服从多数原则。</w:t>
      </w:r>
    </w:p>
    <w:p w14:paraId="6C1B96FD">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6.3.3有下列情形之一的，评标委员会应当否决其投标：</w:t>
      </w:r>
    </w:p>
    <w:p w14:paraId="2E7F198A">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⑴投标文件未按照招标文件规定签字或加盖投标人公章的；</w:t>
      </w:r>
    </w:p>
    <w:p w14:paraId="39D86746">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⑵投标联合体没有提交共同投标协议的（如有）；</w:t>
      </w:r>
    </w:p>
    <w:p w14:paraId="61183BCE">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⑶投标人不符合招标文件规定的资格条件的；</w:t>
      </w:r>
    </w:p>
    <w:p w14:paraId="5F87D29F">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⑷同一投标人提交两个以上不同的投标文件或者投标报价的，但招标文件要求提交备选投标或投标函与清单汇总不一致的除外；</w:t>
      </w:r>
    </w:p>
    <w:p w14:paraId="1412C023">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⑸投标文件没有对招标文件的实质性要求和条件作出响应的；</w:t>
      </w:r>
    </w:p>
    <w:p w14:paraId="3A134599">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⑹投标人有串通投标、弄虚作假、行贿等违法行为的；</w:t>
      </w:r>
    </w:p>
    <w:p w14:paraId="4B35E6FF">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⑺投标文件未通过投标有效性（或符合性、详细）评审的。</w:t>
      </w:r>
    </w:p>
    <w:p w14:paraId="0E1676DA">
      <w:pPr>
        <w:spacing w:line="320" w:lineRule="exact"/>
        <w:ind w:firstLine="420" w:firstLineChars="200"/>
        <w:rPr>
          <w:rFonts w:hint="eastAsia" w:ascii="仿宋" w:hAnsi="仿宋" w:eastAsia="仿宋" w:cs="仿宋"/>
          <w:color w:val="auto"/>
          <w:sz w:val="21"/>
          <w:szCs w:val="21"/>
          <w:highlight w:val="yellow"/>
        </w:rPr>
      </w:pPr>
      <w:r>
        <w:rPr>
          <w:rFonts w:hint="eastAsia" w:ascii="仿宋" w:hAnsi="仿宋" w:eastAsia="仿宋" w:cs="仿宋"/>
          <w:color w:val="auto"/>
          <w:sz w:val="21"/>
          <w:szCs w:val="21"/>
          <w:highlight w:val="none"/>
        </w:rPr>
        <w:t>6.3.4 经评审后不同投标人排名并列的，</w:t>
      </w:r>
      <w:r>
        <w:rPr>
          <w:rFonts w:hint="eastAsia" w:ascii="仿宋" w:hAnsi="仿宋" w:eastAsia="仿宋" w:cs="仿宋"/>
          <w:color w:val="auto"/>
          <w:sz w:val="21"/>
          <w:szCs w:val="21"/>
          <w:highlight w:val="none"/>
          <w:lang w:val="en-US" w:eastAsia="zh-CN"/>
        </w:rPr>
        <w:t>首先按照解密时间先后确定，解密时间相同的再按投标保证金</w:t>
      </w:r>
      <w:r>
        <w:rPr>
          <w:rFonts w:hint="eastAsia" w:ascii="仿宋" w:hAnsi="仿宋" w:eastAsia="仿宋" w:cs="仿宋"/>
          <w:color w:val="auto"/>
          <w:sz w:val="21"/>
          <w:szCs w:val="21"/>
          <w:highlight w:val="none"/>
        </w:rPr>
        <w:t>到账时间</w:t>
      </w:r>
      <w:r>
        <w:rPr>
          <w:rFonts w:hint="eastAsia" w:ascii="仿宋" w:hAnsi="仿宋" w:eastAsia="仿宋" w:cs="仿宋"/>
          <w:color w:val="auto"/>
          <w:sz w:val="21"/>
          <w:szCs w:val="21"/>
          <w:highlight w:val="none"/>
          <w:lang w:val="en-US" w:eastAsia="zh-CN"/>
        </w:rPr>
        <w:t>先后确定</w:t>
      </w:r>
      <w:r>
        <w:rPr>
          <w:rFonts w:hint="eastAsia" w:ascii="仿宋" w:hAnsi="仿宋" w:eastAsia="仿宋" w:cs="仿宋"/>
          <w:color w:val="auto"/>
          <w:sz w:val="21"/>
          <w:szCs w:val="21"/>
          <w:highlight w:val="none"/>
        </w:rPr>
        <w:t>。</w:t>
      </w:r>
    </w:p>
    <w:p w14:paraId="6BB30D3F">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6.3.5有下列情形之一的，属于投标人相互串通投标：</w:t>
      </w:r>
    </w:p>
    <w:p w14:paraId="2D146B5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⑴ 投标人之间协商投标报价等投标文件的实质性内容；</w:t>
      </w:r>
    </w:p>
    <w:p w14:paraId="6B1E477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⑵ 投标人之间约定中标人；</w:t>
      </w:r>
    </w:p>
    <w:p w14:paraId="38FB2727">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⑶ 投标人之间约定部分投标人放弃投标或者中标；</w:t>
      </w:r>
    </w:p>
    <w:p w14:paraId="61780B60">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⑷ 属于同一集团、协会、商会等组织成员的投标人按照该组织要求协同投标；</w:t>
      </w:r>
    </w:p>
    <w:p w14:paraId="3E673938">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⑸ 投标人之间为谋取中标或者排斥特定投标人而采取的其他联合行动。</w:t>
      </w:r>
    </w:p>
    <w:p w14:paraId="1A5D11FF">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6.3.6 有下列情形之一的，视为投标人相互串通投标：</w:t>
      </w:r>
    </w:p>
    <w:p w14:paraId="32ACC623">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⑴ 不同投标人的投标文件由同一单位或者个人编制；</w:t>
      </w:r>
    </w:p>
    <w:p w14:paraId="16885B33">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⑵ 不同投标人委托同一单位或者个人办理投标事宜；</w:t>
      </w:r>
    </w:p>
    <w:p w14:paraId="1817D80A">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⑶ 不同投标人的投标文件载明的项目管理成员或者联系人员为同一人；</w:t>
      </w:r>
    </w:p>
    <w:p w14:paraId="54242B9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⑷ 不同投标人的投标文件异常一致或者投标报价呈规律性差异；</w:t>
      </w:r>
    </w:p>
    <w:p w14:paraId="260D1D00">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⑸ 不同投标人的投标文件相互混装；</w:t>
      </w:r>
    </w:p>
    <w:p w14:paraId="1097FFFE">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⑹ 不同投标人的投标保证金从同一单位或者个人的账户转出。</w:t>
      </w:r>
    </w:p>
    <w:p w14:paraId="729CEC4D">
      <w:pPr>
        <w:bidi w:val="0"/>
        <w:rPr>
          <w:rFonts w:hint="eastAsia"/>
          <w:color w:val="auto"/>
          <w:sz w:val="21"/>
          <w:szCs w:val="21"/>
        </w:rPr>
      </w:pPr>
      <w:r>
        <w:rPr>
          <w:rFonts w:hint="eastAsia"/>
          <w:color w:val="auto"/>
          <w:sz w:val="21"/>
          <w:szCs w:val="21"/>
        </w:rPr>
        <w:t>7. 合同授予</w:t>
      </w:r>
    </w:p>
    <w:p w14:paraId="15C65D39">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7.1 定标方式</w:t>
      </w:r>
    </w:p>
    <w:p w14:paraId="650F5D06">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7.1.1 招标结果在安徽建工集团电子化招采平台进行公示，公示时间不少于3日。</w:t>
      </w:r>
    </w:p>
    <w:p w14:paraId="27F77575">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7.1.2 定标工作按以下程序进行：</w:t>
      </w:r>
    </w:p>
    <w:p w14:paraId="0122507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（1）经公示无异议，未发现中标候选人在投标活动中有弄虚作假等不良行为，确定推荐的第一中标候选人为中标人；</w:t>
      </w:r>
    </w:p>
    <w:p w14:paraId="5E73C48D">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（2）如第一中标候选人放弃中标，或者被查实存在影响中标结果的违法行为，招标人可有条件确定第二中标候选人为中标人，也可重新组织招标；</w:t>
      </w:r>
    </w:p>
    <w:p w14:paraId="66AA603E">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（3）若推荐的第一、第二中标候选人之间投标报价差距不超过</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%或50万元（以先达到其中之一为准），第一中标候选人放弃或被取消中标资格的，招标人可确定第二中标候选人为中标候选人。</w:t>
      </w:r>
    </w:p>
    <w:p w14:paraId="52482F1E">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7.1.3 投标人或招标人对评审过程有异议或质疑的，应由原评委会委员进行复核并出具明确的书面意见。</w:t>
      </w:r>
    </w:p>
    <w:p w14:paraId="77E6166C">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7.1.4有下列情形之一的，招标人可不按评标委员会推荐的名单或顺序确定中标候选人（需提供书面说明材料）：投标人主动书面提出放弃；不按时缴纳履约保证金或签订合同；被查证存在弄虚作假或串通投标等违法行为；招标人组织考察认定不能按招标文件要求履约的（限招标文件有规定）</w:t>
      </w:r>
      <w:r>
        <w:rPr>
          <w:rFonts w:hint="eastAsia" w:ascii="仿宋" w:hAnsi="仿宋" w:eastAsia="仿宋" w:cs="仿宋"/>
          <w:color w:val="auto"/>
          <w:sz w:val="21"/>
          <w:szCs w:val="21"/>
          <w:highlight w:val="none"/>
          <w:lang w:val="en-US" w:eastAsia="zh-CN"/>
        </w:rPr>
        <w:t>或集体研究决策的</w:t>
      </w:r>
      <w:r>
        <w:rPr>
          <w:rFonts w:hint="eastAsia" w:ascii="仿宋" w:hAnsi="仿宋" w:eastAsia="仿宋" w:cs="仿宋"/>
          <w:color w:val="auto"/>
          <w:sz w:val="21"/>
          <w:szCs w:val="21"/>
          <w:highlight w:val="none"/>
        </w:rPr>
        <w:t>。</w:t>
      </w:r>
    </w:p>
    <w:p w14:paraId="6FC827D1">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7.2 签订合同</w:t>
      </w:r>
    </w:p>
    <w:p w14:paraId="583EA2BB">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7.2.1 中标人应当按招标文件要求提交履约保证金后，与招标人签订合同。</w:t>
      </w:r>
    </w:p>
    <w:p w14:paraId="425B19A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7.2.2确定中标人后，由招标人和招标部门向中标人发出中标通知书。招标人和中标人在投标有效期内以及中标</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成交</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通知书发出之日起</w:t>
      </w:r>
      <w:r>
        <w:rPr>
          <w:rFonts w:hint="eastAsia" w:ascii="仿宋" w:hAnsi="仿宋" w:eastAsia="仿宋" w:cs="仿宋"/>
          <w:color w:val="auto"/>
          <w:sz w:val="21"/>
          <w:szCs w:val="21"/>
          <w:highlight w:val="none"/>
          <w:lang w:val="en-US" w:eastAsia="zh-CN"/>
        </w:rPr>
        <w:t>10个工作日</w:t>
      </w:r>
      <w:r>
        <w:rPr>
          <w:rFonts w:hint="eastAsia" w:ascii="仿宋" w:hAnsi="仿宋" w:eastAsia="仿宋" w:cs="仿宋"/>
          <w:color w:val="auto"/>
          <w:sz w:val="21"/>
          <w:szCs w:val="21"/>
          <w:highlight w:val="none"/>
        </w:rPr>
        <w:t>内（以先到为准）签订合同。</w:t>
      </w:r>
    </w:p>
    <w:p w14:paraId="3AA2FCAC">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7.2.3合同协议书经双方法定代表人或其授权的代理人签署并加盖单位章后生效。</w:t>
      </w:r>
    </w:p>
    <w:p w14:paraId="7891360B">
      <w:pPr>
        <w:bidi w:val="0"/>
        <w:rPr>
          <w:rFonts w:hint="eastAsia"/>
          <w:color w:val="auto"/>
          <w:sz w:val="21"/>
          <w:szCs w:val="21"/>
          <w:lang w:eastAsia="zh-CN"/>
        </w:rPr>
      </w:pPr>
      <w:r>
        <w:rPr>
          <w:rFonts w:hint="eastAsia"/>
          <w:color w:val="auto"/>
          <w:sz w:val="21"/>
          <w:szCs w:val="21"/>
        </w:rPr>
        <w:t>8．重新招标或</w:t>
      </w:r>
      <w:r>
        <w:rPr>
          <w:rFonts w:hint="eastAsia"/>
          <w:color w:val="auto"/>
          <w:sz w:val="21"/>
          <w:szCs w:val="21"/>
          <w:lang w:eastAsia="zh-CN"/>
        </w:rPr>
        <w:t>现场转谈判</w:t>
      </w:r>
    </w:p>
    <w:p w14:paraId="7497557F">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8.1 重新招标</w:t>
      </w:r>
    </w:p>
    <w:p w14:paraId="08414E3D">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有下列情形之一的，招标人可重新招标：</w:t>
      </w:r>
    </w:p>
    <w:p w14:paraId="711DCD8D">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（1）投标截止时，投标人少于3家的；</w:t>
      </w:r>
    </w:p>
    <w:p w14:paraId="404A7804">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（2）经评标委员会评审后否决所有投标的；</w:t>
      </w:r>
    </w:p>
    <w:p w14:paraId="2E491D08">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经评标委员会评审后有效投标人少于3个，使得投标明显缺乏竞争的。（投标是否明显缺乏竞争由评标委员会依据有效投标人的实施方案能否满足工程要求、拟投入人员和机具物料能否满足进度强度、相关商务技术条款上是否有实质性偏差、报价和组成是否合理合规、工期和质量承诺是否符合招标人要求等方面进行判断和评议的。下同）</w:t>
      </w:r>
    </w:p>
    <w:p w14:paraId="7099E6CC">
      <w:pPr>
        <w:spacing w:line="320" w:lineRule="exact"/>
        <w:ind w:firstLine="420" w:firstLineChars="200"/>
        <w:rPr>
          <w:rFonts w:hint="eastAsia" w:ascii="仿宋" w:hAnsi="仿宋" w:eastAsia="仿宋" w:cs="仿宋"/>
          <w:color w:val="auto"/>
          <w:sz w:val="21"/>
          <w:szCs w:val="21"/>
          <w:highlight w:val="none"/>
          <w:shd w:val="clear" w:color="auto" w:fill="D9D9D9"/>
        </w:rPr>
      </w:pPr>
      <w:r>
        <w:rPr>
          <w:rFonts w:hint="eastAsia" w:ascii="仿宋" w:hAnsi="仿宋" w:eastAsia="仿宋" w:cs="仿宋"/>
          <w:color w:val="auto"/>
          <w:sz w:val="21"/>
          <w:szCs w:val="21"/>
          <w:highlight w:val="none"/>
        </w:rPr>
        <w:t>（4）中标人及经原评委会递补为中标人的中标候选人均未与招标人签订合同的；</w:t>
      </w:r>
    </w:p>
    <w:p w14:paraId="6C5287C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（5）评标委员会的评审过程显失公平或投标人存在串通投标等违规行为，经查证属实且影响到评标结果的；</w:t>
      </w:r>
    </w:p>
    <w:p w14:paraId="0E906280">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（6）若推荐的第一、第二中标候选人之间投标报价差距超过</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%或50万元（以先达到其中之一为准），第一中标候选人放弃或被取消中标资格的。</w:t>
      </w:r>
    </w:p>
    <w:p w14:paraId="53FB72E5">
      <w:pPr>
        <w:spacing w:line="320" w:lineRule="exact"/>
        <w:rPr>
          <w:rFonts w:hint="eastAsia" w:ascii="仿宋" w:hAnsi="仿宋" w:eastAsia="仿宋" w:cs="仿宋"/>
          <w:b/>
          <w:color w:val="auto"/>
          <w:kern w:val="0"/>
          <w:sz w:val="21"/>
          <w:szCs w:val="21"/>
          <w:highlight w:val="none"/>
          <w:lang w:eastAsia="zh-CN"/>
        </w:rPr>
      </w:pPr>
      <w:r>
        <w:rPr>
          <w:rFonts w:hint="eastAsia" w:ascii="仿宋" w:hAnsi="仿宋" w:eastAsia="仿宋" w:cs="仿宋"/>
          <w:b/>
          <w:color w:val="auto"/>
          <w:kern w:val="0"/>
          <w:sz w:val="21"/>
          <w:szCs w:val="21"/>
          <w:highlight w:val="none"/>
        </w:rPr>
        <w:t xml:space="preserve">8.2 </w:t>
      </w:r>
      <w:r>
        <w:rPr>
          <w:rFonts w:hint="eastAsia" w:ascii="仿宋" w:hAnsi="仿宋" w:eastAsia="仿宋" w:cs="仿宋"/>
          <w:b/>
          <w:color w:val="auto"/>
          <w:kern w:val="0"/>
          <w:sz w:val="21"/>
          <w:szCs w:val="21"/>
          <w:highlight w:val="none"/>
          <w:lang w:eastAsia="zh-CN"/>
        </w:rPr>
        <w:t>现场转谈判</w:t>
      </w:r>
    </w:p>
    <w:p w14:paraId="78A61191">
      <w:pPr>
        <w:spacing w:line="320" w:lineRule="exact"/>
        <w:ind w:firstLine="420" w:firstLineChars="200"/>
        <w:rPr>
          <w:rFonts w:hint="eastAsia" w:ascii="仿宋" w:hAnsi="仿宋" w:eastAsia="仿宋" w:cs="仿宋"/>
          <w:color w:val="auto"/>
          <w:sz w:val="21"/>
          <w:szCs w:val="21"/>
          <w:highlight w:val="none"/>
        </w:rPr>
      </w:pPr>
      <w:bookmarkStart w:id="95" w:name="_Hlk500316540"/>
      <w:bookmarkStart w:id="96" w:name="_Hlk496880397"/>
      <w:r>
        <w:rPr>
          <w:rFonts w:hint="eastAsia" w:ascii="仿宋" w:hAnsi="仿宋" w:eastAsia="仿宋" w:cs="仿宋"/>
          <w:color w:val="auto"/>
          <w:sz w:val="21"/>
          <w:szCs w:val="21"/>
          <w:highlight w:val="none"/>
        </w:rPr>
        <w:t>8.2.1投标截止时，投标人少于3家，招标人可按规定申请</w:t>
      </w:r>
      <w:r>
        <w:rPr>
          <w:rFonts w:hint="eastAsia" w:ascii="仿宋" w:hAnsi="仿宋" w:eastAsia="仿宋" w:cs="仿宋"/>
          <w:color w:val="auto"/>
          <w:sz w:val="21"/>
          <w:szCs w:val="21"/>
          <w:highlight w:val="none"/>
          <w:lang w:eastAsia="zh-CN"/>
        </w:rPr>
        <w:t>现场转谈判</w:t>
      </w:r>
      <w:r>
        <w:rPr>
          <w:rFonts w:hint="eastAsia" w:ascii="仿宋" w:hAnsi="仿宋" w:eastAsia="仿宋" w:cs="仿宋"/>
          <w:color w:val="auto"/>
          <w:sz w:val="21"/>
          <w:szCs w:val="21"/>
          <w:highlight w:val="none"/>
        </w:rPr>
        <w:t>。</w:t>
      </w:r>
    </w:p>
    <w:p w14:paraId="12051FDB">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8.2.2进入</w:t>
      </w:r>
      <w:r>
        <w:rPr>
          <w:rFonts w:hint="eastAsia" w:ascii="仿宋" w:hAnsi="仿宋" w:eastAsia="仿宋" w:cs="仿宋"/>
          <w:color w:val="auto"/>
          <w:sz w:val="21"/>
          <w:szCs w:val="21"/>
          <w:highlight w:val="none"/>
          <w:lang w:eastAsia="zh-CN"/>
        </w:rPr>
        <w:t>现场转谈判</w:t>
      </w:r>
      <w:r>
        <w:rPr>
          <w:rFonts w:hint="eastAsia" w:ascii="仿宋" w:hAnsi="仿宋" w:eastAsia="仿宋" w:cs="仿宋"/>
          <w:color w:val="auto"/>
          <w:sz w:val="21"/>
          <w:szCs w:val="21"/>
          <w:highlight w:val="none"/>
        </w:rPr>
        <w:t>时，招标项目的资格要求、采购需求、付款条件、商务条款等均按招标文件规定，不得改变。评标办法统一变更为最低评标价法，在投标人通过符合性评审的前提下，</w:t>
      </w:r>
      <w:r>
        <w:rPr>
          <w:rFonts w:hint="eastAsia" w:ascii="仿宋" w:hAnsi="仿宋" w:eastAsia="仿宋" w:cs="仿宋"/>
          <w:b/>
          <w:bCs/>
          <w:color w:val="auto"/>
          <w:sz w:val="21"/>
          <w:szCs w:val="21"/>
          <w:highlight w:val="none"/>
          <w:lang w:val="en-US" w:eastAsia="zh-CN"/>
        </w:rPr>
        <w:t>在系统上提交多轮报价</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以有效报价最低的投标人为预中标人。</w:t>
      </w:r>
      <w:bookmarkStart w:id="97" w:name="_Hlk528315345"/>
      <w:r>
        <w:rPr>
          <w:rFonts w:hint="eastAsia" w:ascii="仿宋" w:hAnsi="仿宋" w:eastAsia="仿宋" w:cs="仿宋"/>
          <w:color w:val="auto"/>
          <w:sz w:val="21"/>
          <w:szCs w:val="21"/>
          <w:highlight w:val="none"/>
        </w:rPr>
        <w:t>投标人</w:t>
      </w:r>
      <w:r>
        <w:rPr>
          <w:rFonts w:hint="eastAsia" w:ascii="仿宋" w:hAnsi="仿宋" w:eastAsia="仿宋" w:cs="仿宋"/>
          <w:color w:val="auto"/>
          <w:sz w:val="21"/>
          <w:szCs w:val="21"/>
          <w:highlight w:val="none"/>
          <w:lang w:val="en-US" w:eastAsia="zh-CN"/>
        </w:rPr>
        <w:t>谈判</w:t>
      </w:r>
      <w:r>
        <w:rPr>
          <w:rFonts w:hint="eastAsia" w:ascii="仿宋" w:hAnsi="仿宋" w:eastAsia="仿宋" w:cs="仿宋"/>
          <w:color w:val="auto"/>
          <w:sz w:val="21"/>
          <w:szCs w:val="21"/>
          <w:highlight w:val="none"/>
        </w:rPr>
        <w:t>报价不得高于投标报价，否则投标人</w:t>
      </w:r>
      <w:r>
        <w:rPr>
          <w:rFonts w:hint="eastAsia" w:ascii="仿宋" w:hAnsi="仿宋" w:eastAsia="仿宋" w:cs="仿宋"/>
          <w:color w:val="auto"/>
          <w:sz w:val="21"/>
          <w:szCs w:val="21"/>
          <w:highlight w:val="none"/>
          <w:lang w:val="en-US" w:eastAsia="zh-CN"/>
        </w:rPr>
        <w:t>谈判</w:t>
      </w:r>
      <w:r>
        <w:rPr>
          <w:rFonts w:hint="eastAsia" w:ascii="仿宋" w:hAnsi="仿宋" w:eastAsia="仿宋" w:cs="仿宋"/>
          <w:color w:val="auto"/>
          <w:sz w:val="21"/>
          <w:szCs w:val="21"/>
          <w:highlight w:val="none"/>
        </w:rPr>
        <w:t>报价无效。</w:t>
      </w:r>
      <w:bookmarkEnd w:id="95"/>
      <w:bookmarkEnd w:id="96"/>
      <w:bookmarkEnd w:id="97"/>
    </w:p>
    <w:p w14:paraId="290A82B8">
      <w:pPr>
        <w:spacing w:line="320" w:lineRule="exact"/>
        <w:ind w:firstLine="420" w:firstLineChars="200"/>
        <w:rPr>
          <w:rFonts w:hint="eastAsia" w:ascii="仿宋" w:hAnsi="仿宋" w:eastAsia="仿宋" w:cs="仿宋"/>
          <w:color w:val="auto"/>
          <w:sz w:val="21"/>
          <w:szCs w:val="21"/>
          <w:highlight w:val="none"/>
          <w:lang w:val="en-US" w:eastAsia="zh-CN"/>
        </w:rPr>
      </w:pPr>
      <w:bookmarkStart w:id="98" w:name="_Hlk497292383"/>
      <w:bookmarkStart w:id="99" w:name="_Hlk500316578"/>
      <w:r>
        <w:rPr>
          <w:rFonts w:hint="eastAsia" w:ascii="仿宋" w:hAnsi="仿宋" w:eastAsia="仿宋" w:cs="仿宋"/>
          <w:color w:val="auto"/>
          <w:sz w:val="21"/>
          <w:szCs w:val="21"/>
          <w:highlight w:val="none"/>
        </w:rPr>
        <w:t xml:space="preserve">8.2.3 </w:t>
      </w:r>
      <w:r>
        <w:rPr>
          <w:rFonts w:hint="eastAsia" w:ascii="仿宋" w:hAnsi="仿宋" w:eastAsia="仿宋" w:cs="仿宋"/>
          <w:color w:val="auto"/>
          <w:sz w:val="21"/>
          <w:szCs w:val="21"/>
          <w:highlight w:val="none"/>
          <w:lang w:val="en-US" w:eastAsia="zh-CN"/>
        </w:rPr>
        <w:t>谈判时，若投标人未能在评委会指定时间内（原则上不超过30分钟）提交符合要求的次轮报价（或询标记录表）或未作出实质性响应的，投标人的投标报价默认为次轮报价。</w:t>
      </w:r>
    </w:p>
    <w:p w14:paraId="6DEBA35C">
      <w:pPr>
        <w:pStyle w:val="7"/>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rPr>
        <w:t xml:space="preserve"> 进入</w:t>
      </w:r>
      <w:r>
        <w:rPr>
          <w:rFonts w:hint="eastAsia" w:ascii="仿宋" w:hAnsi="仿宋" w:eastAsia="仿宋" w:cs="仿宋"/>
          <w:color w:val="auto"/>
          <w:sz w:val="21"/>
          <w:szCs w:val="21"/>
          <w:highlight w:val="none"/>
          <w:lang w:val="en-US" w:eastAsia="zh-CN"/>
        </w:rPr>
        <w:t>谈判</w:t>
      </w:r>
      <w:r>
        <w:rPr>
          <w:rFonts w:hint="eastAsia" w:ascii="仿宋" w:hAnsi="仿宋" w:eastAsia="仿宋" w:cs="仿宋"/>
          <w:color w:val="auto"/>
          <w:sz w:val="21"/>
          <w:szCs w:val="21"/>
          <w:highlight w:val="none"/>
        </w:rPr>
        <w:t>程序后，无论投标人投标文件是否已公开唱标，其投标文件的报价均视为</w:t>
      </w:r>
      <w:r>
        <w:rPr>
          <w:rFonts w:hint="eastAsia" w:ascii="仿宋" w:hAnsi="仿宋" w:eastAsia="仿宋" w:cs="仿宋"/>
          <w:color w:val="auto"/>
          <w:sz w:val="21"/>
          <w:szCs w:val="21"/>
          <w:highlight w:val="none"/>
          <w:lang w:val="en-US" w:eastAsia="zh-CN"/>
        </w:rPr>
        <w:t>谈判</w:t>
      </w:r>
      <w:r>
        <w:rPr>
          <w:rFonts w:hint="eastAsia" w:ascii="仿宋" w:hAnsi="仿宋" w:eastAsia="仿宋" w:cs="仿宋"/>
          <w:color w:val="auto"/>
          <w:sz w:val="21"/>
          <w:szCs w:val="21"/>
          <w:highlight w:val="none"/>
        </w:rPr>
        <w:t>时的首轮报价。</w:t>
      </w:r>
    </w:p>
    <w:p w14:paraId="06EEE086">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 xml:space="preserve"> 在招标内容未作实质性变更及重大调整的前提下，投标人次轮报价不得高于上一轮报价，否则以首轮报价为准。</w:t>
      </w:r>
    </w:p>
    <w:p w14:paraId="44C46B35">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val="en-US" w:eastAsia="zh-CN"/>
        </w:rPr>
        <w:t>谈判</w:t>
      </w:r>
      <w:r>
        <w:rPr>
          <w:rFonts w:hint="eastAsia" w:ascii="仿宋" w:hAnsi="仿宋" w:eastAsia="仿宋" w:cs="仿宋"/>
          <w:color w:val="auto"/>
          <w:sz w:val="21"/>
          <w:szCs w:val="21"/>
          <w:highlight w:val="none"/>
        </w:rPr>
        <w:t>时，所有投标人最终报价高于公布的控制价，评委会可以否决所有投标。</w:t>
      </w:r>
    </w:p>
    <w:bookmarkEnd w:id="98"/>
    <w:bookmarkEnd w:id="99"/>
    <w:p w14:paraId="031C1C50">
      <w:pPr>
        <w:bidi w:val="0"/>
        <w:rPr>
          <w:rFonts w:hint="eastAsia"/>
          <w:color w:val="auto"/>
          <w:sz w:val="21"/>
          <w:szCs w:val="21"/>
        </w:rPr>
      </w:pPr>
      <w:r>
        <w:rPr>
          <w:rFonts w:hint="eastAsia"/>
          <w:color w:val="auto"/>
          <w:sz w:val="21"/>
          <w:szCs w:val="21"/>
        </w:rPr>
        <w:t>9. 纪律和监督</w:t>
      </w:r>
    </w:p>
    <w:p w14:paraId="37DDB3A4">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9.1 对招标人的纪律要求</w:t>
      </w:r>
    </w:p>
    <w:p w14:paraId="559E6E5C">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招标人不得</w:t>
      </w:r>
      <w:r>
        <w:rPr>
          <w:rFonts w:hint="eastAsia" w:ascii="仿宋" w:hAnsi="仿宋" w:eastAsia="仿宋" w:cs="仿宋"/>
          <w:color w:val="auto"/>
          <w:sz w:val="21"/>
          <w:szCs w:val="21"/>
          <w:highlight w:val="none"/>
          <w:lang w:eastAsia="zh-CN"/>
        </w:rPr>
        <w:t>泄露</w:t>
      </w:r>
      <w:r>
        <w:rPr>
          <w:rFonts w:hint="eastAsia" w:ascii="仿宋" w:hAnsi="仿宋" w:eastAsia="仿宋" w:cs="仿宋"/>
          <w:color w:val="auto"/>
          <w:sz w:val="21"/>
          <w:szCs w:val="21"/>
          <w:highlight w:val="none"/>
        </w:rPr>
        <w:t>招标投标活动中应当保密的情况和资料，不得与投标人串通损害国家利益、社会公共利益、公司利益或者他人合法权益。</w:t>
      </w:r>
    </w:p>
    <w:p w14:paraId="50D1C2C3">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9.2 对投标人的纪律要求</w:t>
      </w:r>
    </w:p>
    <w:p w14:paraId="2780A4C5">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9.2.1 投标人不得相互串通投标或者与招标人串通投标，不得向招标人或者评标委员会成员行贿谋取中标，不得以他人名义投标或者以其他方式弄虚作假骗取中标；投标人不得以任何方式干扰、影响评标工作。</w:t>
      </w:r>
    </w:p>
    <w:p w14:paraId="14F04FCA">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9.2.2 在确定中标人之前，投标人不得与采购人就投标价格、投标方案等实质性内容进行谈判，也不得私下接触评委会成员。</w:t>
      </w:r>
    </w:p>
    <w:p w14:paraId="6BD8902D">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9.2.3 在确定中标人之前，投标人试图在投标文件审查、澄清、比较和评价时对评委会、采购人和交易中心施加任何影响都可能导致其投标无效。</w:t>
      </w:r>
    </w:p>
    <w:p w14:paraId="2852D7B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9.2.4 由</w:t>
      </w:r>
      <w:r>
        <w:rPr>
          <w:rFonts w:hint="eastAsia" w:ascii="仿宋" w:hAnsi="仿宋" w:eastAsia="仿宋" w:cs="仿宋"/>
          <w:b w:val="0"/>
          <w:bCs w:val="0"/>
          <w:color w:val="auto"/>
          <w:sz w:val="21"/>
          <w:szCs w:val="21"/>
          <w:highlight w:val="none"/>
          <w:lang w:val="en-US" w:eastAsia="zh-CN"/>
        </w:rPr>
        <w:t>招标</w:t>
      </w:r>
      <w:r>
        <w:rPr>
          <w:rFonts w:hint="eastAsia" w:ascii="仿宋" w:hAnsi="仿宋" w:eastAsia="仿宋" w:cs="仿宋"/>
          <w:b w:val="0"/>
          <w:bCs w:val="0"/>
          <w:color w:val="auto"/>
          <w:sz w:val="21"/>
          <w:szCs w:val="21"/>
          <w:highlight w:val="none"/>
        </w:rPr>
        <w:t>人</w:t>
      </w:r>
      <w:r>
        <w:rPr>
          <w:rFonts w:hint="eastAsia" w:ascii="仿宋" w:hAnsi="仿宋" w:eastAsia="仿宋" w:cs="仿宋"/>
          <w:color w:val="auto"/>
          <w:sz w:val="21"/>
          <w:szCs w:val="21"/>
          <w:highlight w:val="none"/>
        </w:rPr>
        <w:t>向投标人提供的图纸、详细资料、样品、模型、模件和所有</w:t>
      </w:r>
      <w:r>
        <w:rPr>
          <w:rFonts w:hint="eastAsia" w:ascii="仿宋" w:hAnsi="仿宋" w:eastAsia="仿宋" w:cs="仿宋"/>
          <w:color w:val="auto"/>
          <w:sz w:val="21"/>
          <w:szCs w:val="21"/>
          <w:highlight w:val="none"/>
          <w:lang w:eastAsia="zh-CN"/>
        </w:rPr>
        <w:t>其他</w:t>
      </w:r>
      <w:r>
        <w:rPr>
          <w:rFonts w:hint="eastAsia" w:ascii="仿宋" w:hAnsi="仿宋" w:eastAsia="仿宋" w:cs="仿宋"/>
          <w:color w:val="auto"/>
          <w:sz w:val="21"/>
          <w:szCs w:val="21"/>
          <w:highlight w:val="none"/>
        </w:rPr>
        <w:t>资料，被视为保密资料，仅被用于它所规定的用途。除非得到</w:t>
      </w:r>
      <w:r>
        <w:rPr>
          <w:rFonts w:hint="eastAsia" w:ascii="仿宋" w:hAnsi="仿宋" w:eastAsia="仿宋" w:cs="仿宋"/>
          <w:b w:val="0"/>
          <w:bCs w:val="0"/>
          <w:color w:val="auto"/>
          <w:sz w:val="21"/>
          <w:szCs w:val="21"/>
          <w:highlight w:val="none"/>
          <w:lang w:val="en-US" w:eastAsia="zh-CN"/>
        </w:rPr>
        <w:t>招标</w:t>
      </w:r>
      <w:r>
        <w:rPr>
          <w:rFonts w:hint="eastAsia" w:ascii="仿宋" w:hAnsi="仿宋" w:eastAsia="仿宋" w:cs="仿宋"/>
          <w:b w:val="0"/>
          <w:bCs w:val="0"/>
          <w:color w:val="auto"/>
          <w:sz w:val="21"/>
          <w:szCs w:val="21"/>
          <w:highlight w:val="none"/>
        </w:rPr>
        <w:t>人</w:t>
      </w:r>
      <w:r>
        <w:rPr>
          <w:rFonts w:hint="eastAsia" w:ascii="仿宋" w:hAnsi="仿宋" w:eastAsia="仿宋" w:cs="仿宋"/>
          <w:color w:val="auto"/>
          <w:sz w:val="21"/>
          <w:szCs w:val="21"/>
          <w:highlight w:val="none"/>
        </w:rPr>
        <w:t>的同意，不能向任何第三方透露。开标结束后，应</w:t>
      </w:r>
      <w:r>
        <w:rPr>
          <w:rFonts w:hint="eastAsia" w:ascii="仿宋" w:hAnsi="仿宋" w:eastAsia="仿宋" w:cs="仿宋"/>
          <w:b w:val="0"/>
          <w:bCs w:val="0"/>
          <w:color w:val="auto"/>
          <w:sz w:val="21"/>
          <w:szCs w:val="21"/>
          <w:highlight w:val="none"/>
          <w:lang w:val="en-US" w:eastAsia="zh-CN"/>
        </w:rPr>
        <w:t>招标</w:t>
      </w:r>
      <w:r>
        <w:rPr>
          <w:rFonts w:hint="eastAsia" w:ascii="仿宋" w:hAnsi="仿宋" w:eastAsia="仿宋" w:cs="仿宋"/>
          <w:b w:val="0"/>
          <w:bCs w:val="0"/>
          <w:color w:val="auto"/>
          <w:sz w:val="21"/>
          <w:szCs w:val="21"/>
          <w:highlight w:val="none"/>
        </w:rPr>
        <w:t>人</w:t>
      </w:r>
      <w:r>
        <w:rPr>
          <w:rFonts w:hint="eastAsia" w:ascii="仿宋" w:hAnsi="仿宋" w:eastAsia="仿宋" w:cs="仿宋"/>
          <w:color w:val="auto"/>
          <w:sz w:val="21"/>
          <w:szCs w:val="21"/>
          <w:highlight w:val="none"/>
        </w:rPr>
        <w:t>要求，投标人应归还所有从</w:t>
      </w:r>
      <w:r>
        <w:rPr>
          <w:rFonts w:hint="eastAsia" w:ascii="仿宋" w:hAnsi="仿宋" w:eastAsia="仿宋" w:cs="仿宋"/>
          <w:b w:val="0"/>
          <w:bCs w:val="0"/>
          <w:color w:val="auto"/>
          <w:sz w:val="21"/>
          <w:szCs w:val="21"/>
          <w:highlight w:val="none"/>
          <w:lang w:val="en-US" w:eastAsia="zh-CN"/>
        </w:rPr>
        <w:t>招标</w:t>
      </w:r>
      <w:r>
        <w:rPr>
          <w:rFonts w:hint="eastAsia" w:ascii="仿宋" w:hAnsi="仿宋" w:eastAsia="仿宋" w:cs="仿宋"/>
          <w:b w:val="0"/>
          <w:bCs w:val="0"/>
          <w:color w:val="auto"/>
          <w:sz w:val="21"/>
          <w:szCs w:val="21"/>
          <w:highlight w:val="none"/>
        </w:rPr>
        <w:t>人</w:t>
      </w:r>
      <w:r>
        <w:rPr>
          <w:rFonts w:hint="eastAsia" w:ascii="仿宋" w:hAnsi="仿宋" w:eastAsia="仿宋" w:cs="仿宋"/>
          <w:color w:val="auto"/>
          <w:sz w:val="21"/>
          <w:szCs w:val="21"/>
          <w:highlight w:val="none"/>
        </w:rPr>
        <w:t>处获得的保密资料。</w:t>
      </w:r>
    </w:p>
    <w:p w14:paraId="7EA2C1E5">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9.3 对评标委员会成员的纪律要求</w:t>
      </w:r>
    </w:p>
    <w:p w14:paraId="034AE71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评标委员会成员不得收受他人的财物或者其他好处，不得向他人</w:t>
      </w:r>
      <w:r>
        <w:rPr>
          <w:rFonts w:hint="eastAsia" w:ascii="仿宋" w:hAnsi="仿宋" w:eastAsia="仿宋" w:cs="仿宋"/>
          <w:color w:val="auto"/>
          <w:sz w:val="21"/>
          <w:szCs w:val="21"/>
          <w:highlight w:val="none"/>
          <w:lang w:eastAsia="zh-CN"/>
        </w:rPr>
        <w:t>透露</w:t>
      </w:r>
      <w:r>
        <w:rPr>
          <w:rFonts w:hint="eastAsia" w:ascii="仿宋" w:hAnsi="仿宋" w:eastAsia="仿宋" w:cs="仿宋"/>
          <w:color w:val="auto"/>
          <w:sz w:val="21"/>
          <w:szCs w:val="21"/>
          <w:highlight w:val="none"/>
        </w:rPr>
        <w:t>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p>
    <w:p w14:paraId="45A6DC67">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9.4 对与评标活动有关的工作人员的纪律要求</w:t>
      </w:r>
    </w:p>
    <w:p w14:paraId="5776B532">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与评标活动有关的工作人员不得收受他人的财物或者其他好处，不得向他人</w:t>
      </w:r>
      <w:r>
        <w:rPr>
          <w:rFonts w:hint="eastAsia" w:ascii="仿宋" w:hAnsi="仿宋" w:eastAsia="仿宋" w:cs="仿宋"/>
          <w:color w:val="auto"/>
          <w:sz w:val="21"/>
          <w:szCs w:val="21"/>
          <w:highlight w:val="none"/>
          <w:lang w:eastAsia="zh-CN"/>
        </w:rPr>
        <w:t>透露</w:t>
      </w:r>
      <w:r>
        <w:rPr>
          <w:rFonts w:hint="eastAsia" w:ascii="仿宋" w:hAnsi="仿宋" w:eastAsia="仿宋" w:cs="仿宋"/>
          <w:color w:val="auto"/>
          <w:sz w:val="21"/>
          <w:szCs w:val="21"/>
          <w:highlight w:val="none"/>
        </w:rPr>
        <w:t>对投标文件的评审和比较、中标候选人的推荐情况以及评标有关的其他情况。在评标活动中，与评标活动有关的工作人员不得擅离职守，影响评标程序正常进行。</w:t>
      </w:r>
    </w:p>
    <w:p w14:paraId="609AA661">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9.5 质疑和投诉</w:t>
      </w:r>
    </w:p>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14:paraId="3762654D">
      <w:pPr>
        <w:spacing w:line="400" w:lineRule="exact"/>
        <w:ind w:firstLine="420" w:firstLineChars="200"/>
        <w:rPr>
          <w:rFonts w:hint="eastAsia" w:ascii="仿宋" w:hAnsi="仿宋" w:eastAsia="仿宋" w:cs="仿宋"/>
          <w:color w:val="auto"/>
          <w:sz w:val="21"/>
          <w:szCs w:val="21"/>
          <w:highlight w:val="none"/>
        </w:rPr>
      </w:pPr>
      <w:bookmarkStart w:id="100" w:name="_Toc481760085"/>
      <w:bookmarkStart w:id="101" w:name="_Toc421916947"/>
      <w:bookmarkStart w:id="102" w:name="_Toc481760113"/>
      <w:bookmarkStart w:id="103" w:name="_Toc390411578"/>
      <w:bookmarkStart w:id="104" w:name="_Toc58340083"/>
      <w:bookmarkStart w:id="105" w:name="_Hlk491784957"/>
      <w:r>
        <w:rPr>
          <w:rFonts w:hint="eastAsia" w:ascii="仿宋" w:hAnsi="仿宋" w:eastAsia="仿宋" w:cs="仿宋"/>
          <w:color w:val="auto"/>
          <w:sz w:val="21"/>
          <w:szCs w:val="21"/>
          <w:highlight w:val="none"/>
        </w:rPr>
        <w:t>投标人认为本次招标活动有违反招投标相关规定的，有权向纪检监督部门投诉。</w:t>
      </w:r>
    </w:p>
    <w:p w14:paraId="43B8CCFD">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所有质疑或投诉及处理应当依据《安徽建工集团股份有限公司供应商质疑答复与投诉处理办法》（以下简称《办法》）进行。《办法》主要条款如下：</w:t>
      </w:r>
    </w:p>
    <w:p w14:paraId="37EB033B">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第九条　提出质疑的供应商必须为已成功报名且购买了所质疑项目采购活动招标文件的供应商，但因招标公告载明条件导致供应商被限制报名的除外。</w:t>
      </w:r>
    </w:p>
    <w:p w14:paraId="5FDDDCB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第十条  供应商认为招标文件所载明的内容使自己的权益受到损害的，可以在知道或者应知其权益受到损害之日起2日内或在开标截止时间2日前，以书面形式向招标人或招标部门提出质疑，同时将质疑内容发送至招标部门指定邮箱。供应商未在规定时间内提出质疑的，视同对招标文件的认同，不得再就招标文件内容提起质疑或投诉。</w:t>
      </w:r>
    </w:p>
    <w:p w14:paraId="59BF43E0">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第十一条　供应商提起质疑，必须向招标人或招标部门提交书面的质疑函。质疑函应当包括但不限于下列内容：  </w:t>
      </w:r>
    </w:p>
    <w:p w14:paraId="0F2154E3">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（一）供应商的名称、地址、邮编以及联系人、联系电话等；</w:t>
      </w:r>
    </w:p>
    <w:p w14:paraId="48617946">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（二）质疑项目的名称、编号；</w:t>
      </w:r>
    </w:p>
    <w:p w14:paraId="759D6992">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（三）质疑事项；</w:t>
      </w:r>
    </w:p>
    <w:p w14:paraId="31B1504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（四）事实依据和证明材料；</w:t>
      </w:r>
    </w:p>
    <w:p w14:paraId="787B5E6F">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（五）法律依据；</w:t>
      </w:r>
    </w:p>
    <w:p w14:paraId="349675CF">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（六）具体、明确的质疑请求；</w:t>
      </w:r>
    </w:p>
    <w:p w14:paraId="4E9C40AC">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（七）质疑提起日期。</w:t>
      </w:r>
    </w:p>
    <w:p w14:paraId="79599023">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质疑函必须署名。供应商为自然人的，质疑函必须由本人签字、摁手印并附身份证复印件；供应商为法人或者其他组织的，质疑函必须由其法定代表人签字或授权代理人签字并加盖公章。  </w:t>
      </w:r>
    </w:p>
    <w:p w14:paraId="513747E4">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第十七条　供应商认为评审过程、中标或成交结果不符合招标文件规定或存有疑问的，在公示期内可以向招标部门或纪检监督部门提起投诉。</w:t>
      </w:r>
    </w:p>
    <w:p w14:paraId="1AFA2D71">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第十九条　投诉人提起投诉时，必须向招标部门或纪检监督部门提交书面的投诉书。投诉书必须包括但不限于下列内容： </w:t>
      </w:r>
    </w:p>
    <w:p w14:paraId="7F5FA23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（一）投诉人、被投诉人的名称以及投诉人的地址、联系人和联系电话等；</w:t>
      </w:r>
    </w:p>
    <w:p w14:paraId="34722915">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（二）质疑和质疑答复情况及相关证明材料，或投诉和投诉答复情况及相关证明材料；</w:t>
      </w:r>
    </w:p>
    <w:p w14:paraId="235A4108">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（三）具体、明确的投诉事项和投诉请求；</w:t>
      </w:r>
    </w:p>
    <w:p w14:paraId="304AA9B1">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（四）投诉事项的事实依据和法律依据；</w:t>
      </w:r>
    </w:p>
    <w:p w14:paraId="6DE46013">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（五）提起投诉的日期。</w:t>
      </w:r>
    </w:p>
    <w:p w14:paraId="37691ED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投诉书必须署名。投诉人为自然人的，应当由本人签字、摁手印并附身份证复印件；投诉人为法人或者其他组织的，应当由法定代表人或其授权代理人签字并加盖公章。 </w:t>
      </w:r>
    </w:p>
    <w:p w14:paraId="7DB95C0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第二十九条　投诉人拒绝配合投诉受理部门依法进行调查的，按照投诉人自动撤回投诉处理；被投诉人不提交相关证据、依据和其他有关材料的，视同其放弃说明权利，认可投诉事项。</w:t>
      </w:r>
    </w:p>
    <w:p w14:paraId="12557F20">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第四十条　投诉人有下列行为之一的，属于虚假、恶意投诉，由受理部门列入</w:t>
      </w:r>
      <w:r>
        <w:rPr>
          <w:rFonts w:hint="eastAsia" w:ascii="仿宋" w:hAnsi="仿宋" w:eastAsia="仿宋" w:cs="仿宋"/>
          <w:color w:val="auto"/>
          <w:sz w:val="21"/>
          <w:szCs w:val="21"/>
          <w:highlight w:val="none"/>
          <w:lang w:val="en-US" w:eastAsia="zh-CN"/>
        </w:rPr>
        <w:t>黑</w:t>
      </w:r>
      <w:r>
        <w:rPr>
          <w:rFonts w:hint="eastAsia" w:ascii="仿宋" w:hAnsi="仿宋" w:eastAsia="仿宋" w:cs="仿宋"/>
          <w:color w:val="auto"/>
          <w:sz w:val="21"/>
          <w:szCs w:val="21"/>
          <w:highlight w:val="none"/>
        </w:rPr>
        <w:t>名单</w:t>
      </w:r>
      <w:r>
        <w:rPr>
          <w:rFonts w:hint="eastAsia" w:ascii="仿宋" w:hAnsi="仿宋" w:eastAsia="仿宋" w:cs="仿宋"/>
          <w:color w:val="auto"/>
          <w:sz w:val="21"/>
          <w:szCs w:val="21"/>
          <w:highlight w:val="none"/>
          <w:lang w:val="en-US" w:eastAsia="zh-CN"/>
        </w:rPr>
        <w:t>管理</w:t>
      </w:r>
      <w:r>
        <w:rPr>
          <w:rFonts w:hint="eastAsia" w:ascii="仿宋" w:hAnsi="仿宋" w:eastAsia="仿宋" w:cs="仿宋"/>
          <w:color w:val="auto"/>
          <w:sz w:val="21"/>
          <w:szCs w:val="21"/>
          <w:highlight w:val="none"/>
        </w:rPr>
        <w:t>，3年内禁止参加集团公司采购活动：</w:t>
      </w:r>
    </w:p>
    <w:p w14:paraId="3550F8E5">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（一）捏造或歪曲事实；</w:t>
      </w:r>
    </w:p>
    <w:p w14:paraId="73514C2A">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（二）提供虚假材料或信息；</w:t>
      </w:r>
    </w:p>
    <w:p w14:paraId="30E1014A">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（三）一年内累计两次投诉被查不属实的；</w:t>
      </w:r>
    </w:p>
    <w:p w14:paraId="0D3FCCC9">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（四）以非法手段取得证明材料或者无法提供证据的合法来源；</w:t>
      </w:r>
    </w:p>
    <w:p w14:paraId="1B959DBB">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（五）法律法规规定的其他违法情形。</w:t>
      </w:r>
    </w:p>
    <w:p w14:paraId="1A74140C">
      <w:pPr>
        <w:spacing w:line="320" w:lineRule="exact"/>
        <w:rPr>
          <w:rFonts w:hint="eastAsia" w:ascii="仿宋" w:hAnsi="仿宋" w:eastAsia="仿宋" w:cs="仿宋"/>
          <w:b/>
          <w:color w:val="auto"/>
          <w:kern w:val="0"/>
          <w:sz w:val="21"/>
          <w:szCs w:val="21"/>
          <w:highlight w:val="none"/>
        </w:rPr>
      </w:pPr>
      <w:r>
        <w:rPr>
          <w:rFonts w:hint="eastAsia" w:ascii="仿宋" w:hAnsi="仿宋" w:eastAsia="仿宋" w:cs="仿宋"/>
          <w:b/>
          <w:color w:val="auto"/>
          <w:kern w:val="0"/>
          <w:sz w:val="21"/>
          <w:szCs w:val="21"/>
          <w:highlight w:val="none"/>
        </w:rPr>
        <w:t>9.6黑名单管理</w:t>
      </w:r>
    </w:p>
    <w:p w14:paraId="61E284B0">
      <w:pPr>
        <w:spacing w:line="500" w:lineRule="exact"/>
        <w:ind w:firstLine="420" w:firstLineChars="200"/>
        <w:rPr>
          <w:rFonts w:hint="eastAsia" w:ascii="仿宋" w:hAnsi="仿宋" w:eastAsia="仿宋" w:cs="仿宋"/>
          <w:color w:val="auto"/>
          <w:sz w:val="21"/>
          <w:szCs w:val="21"/>
          <w:highlight w:val="none"/>
        </w:rPr>
      </w:pPr>
      <w:bookmarkStart w:id="106" w:name="_Hlk500316761"/>
      <w:r>
        <w:rPr>
          <w:rFonts w:hint="eastAsia" w:ascii="仿宋" w:hAnsi="仿宋" w:eastAsia="仿宋" w:cs="仿宋"/>
          <w:color w:val="auto"/>
          <w:sz w:val="21"/>
          <w:szCs w:val="21"/>
          <w:highlight w:val="none"/>
        </w:rPr>
        <w:t>纳入“黑名单”的单位，期间不得参加安徽建工集团股份有限公司（含所属单位）所有投标活动。“黑名单”期满后，合同或业务承办部门按照“黑名单”认定流程进行报批，认为整改合格的，移出“黑名单”。</w:t>
      </w:r>
    </w:p>
    <w:p w14:paraId="0009DCB6">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9.6.1投标人存在以下行为之一的，将被纳入安徽建工集团股份有限公司“黑名单”管理并予以披露，期限自认定之日起不少于3年。</w:t>
      </w:r>
    </w:p>
    <w:bookmarkEnd w:id="106"/>
    <w:p w14:paraId="1565735C">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（1）非法以他人名义投标、弄虚作假或者恶意投诉的；</w:t>
      </w:r>
    </w:p>
    <w:p w14:paraId="668B6D3D">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（2）投标人在招标文件规定的投标文件有效期内撤销或修改其投标文件的；</w:t>
      </w:r>
    </w:p>
    <w:p w14:paraId="682CA474">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起诉（仲裁）建工控股或建工控股所属单位，不愿达成合理的和解或调解协议的；导致其他单位起诉（仲裁）建工控股或建工控股所属单位，并造成实际损失的；要求建工控股或建工控股所属单位协助执行或其他行为给建工控股或建工控股所属单位造成实际损失的；</w:t>
      </w:r>
    </w:p>
    <w:p w14:paraId="54184C4A">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（4）在“黑名单”管理处罚期内合作方的法定代表人任其他合作方法定代表人或实际控制人的；</w:t>
      </w:r>
    </w:p>
    <w:p w14:paraId="0F2B60F2">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（5）违反合同约定，情节严重的；</w:t>
      </w:r>
    </w:p>
    <w:p w14:paraId="5E96A333">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（6）其他行为给建工控股或建工控股所属单位造成损失，且拒不赔偿的；</w:t>
      </w:r>
    </w:p>
    <w:p w14:paraId="7EC140E7">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（7）严重违反建工控股其他管理规定或建工控股认为需要纳入“黑名单”管理的。</w:t>
      </w:r>
    </w:p>
    <w:p w14:paraId="35B1A16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9.6.2投标人存在以下行为之一的，将被纳入安徽建工集团股份有限公司“黑名单”管理并予以披露，期限自认定之日起暂定5年。</w:t>
      </w:r>
    </w:p>
    <w:p w14:paraId="3C051F92">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（1）在招投标过程中相互串通投标的；</w:t>
      </w:r>
    </w:p>
    <w:p w14:paraId="55500961">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（2）以提供虚假业绩等方式弄虚作假骗取中标的；</w:t>
      </w:r>
    </w:p>
    <w:p w14:paraId="7A0C9DCE">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（3）违反合同约定，情节严重且拒不改正的；</w:t>
      </w:r>
    </w:p>
    <w:p w14:paraId="716AB2AB">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（4）中标后恶意放弃中标或不按规定期限签订合同或不按时缴纳履约保证金（或银行保函）的；</w:t>
      </w:r>
    </w:p>
    <w:p w14:paraId="3B68D981">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（5）合作过程中存在挂靠行为的。</w:t>
      </w:r>
    </w:p>
    <w:p w14:paraId="215BF438">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9.6.3纳入“黑名单”管理的投标人，存在以下情形的，自公布之日起终身禁止与其建立合作关系。</w:t>
      </w:r>
    </w:p>
    <w:p w14:paraId="05F2E7B0">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（1）向建工控股或建工控股所属单位工作人员进行商业贿赂的；</w:t>
      </w:r>
    </w:p>
    <w:p w14:paraId="5B8A7D14">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（2）两次纳入“黑名单”管理的，自第二次纳入“黑名单”之日起终身禁止与其建立合作关系。</w:t>
      </w:r>
    </w:p>
    <w:bookmarkEnd w:id="100"/>
    <w:p w14:paraId="1B326346">
      <w:pPr>
        <w:spacing w:line="320" w:lineRule="exact"/>
        <w:ind w:firstLine="420" w:firstLineChars="200"/>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10.解释权</w:t>
      </w:r>
      <w:bookmarkEnd w:id="101"/>
      <w:bookmarkEnd w:id="102"/>
      <w:bookmarkEnd w:id="103"/>
      <w:bookmarkEnd w:id="104"/>
    </w:p>
    <w:p w14:paraId="667317F1">
      <w:pPr>
        <w:spacing w:line="32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本招标文件解释权属</w:t>
      </w:r>
      <w:r>
        <w:rPr>
          <w:rFonts w:hint="eastAsia" w:ascii="仿宋" w:hAnsi="仿宋" w:eastAsia="仿宋" w:cs="仿宋"/>
          <w:color w:val="auto"/>
          <w:sz w:val="21"/>
          <w:szCs w:val="21"/>
          <w:highlight w:val="none"/>
          <w:lang w:eastAsia="zh-CN"/>
        </w:rPr>
        <w:t>建工水利</w:t>
      </w:r>
      <w:r>
        <w:rPr>
          <w:rFonts w:hint="eastAsia" w:ascii="仿宋" w:hAnsi="仿宋" w:eastAsia="仿宋" w:cs="仿宋"/>
          <w:color w:val="auto"/>
          <w:sz w:val="21"/>
          <w:szCs w:val="21"/>
          <w:highlight w:val="none"/>
        </w:rPr>
        <w:t>招标中心和招标人。</w:t>
      </w:r>
      <w:bookmarkEnd w:id="105"/>
    </w:p>
    <w:p w14:paraId="201A9123">
      <w:pPr>
        <w:spacing w:line="320" w:lineRule="exact"/>
        <w:ind w:firstLine="420" w:firstLineChars="200"/>
        <w:rPr>
          <w:rFonts w:hint="eastAsia" w:ascii="仿宋" w:hAnsi="仿宋" w:eastAsia="仿宋" w:cs="仿宋"/>
          <w:color w:val="auto"/>
          <w:sz w:val="21"/>
          <w:szCs w:val="21"/>
          <w:highlight w:val="none"/>
        </w:rPr>
      </w:pPr>
    </w:p>
    <w:p w14:paraId="4E401327">
      <w:pPr>
        <w:spacing w:line="320" w:lineRule="exact"/>
        <w:ind w:firstLine="420" w:firstLineChars="200"/>
        <w:rPr>
          <w:rFonts w:hint="eastAsia" w:ascii="仿宋" w:hAnsi="仿宋" w:eastAsia="仿宋" w:cs="仿宋"/>
          <w:color w:val="auto"/>
          <w:sz w:val="21"/>
          <w:szCs w:val="21"/>
          <w:highlight w:val="none"/>
        </w:rPr>
      </w:pPr>
    </w:p>
    <w:p w14:paraId="7FD505F6">
      <w:pPr>
        <w:spacing w:line="320" w:lineRule="exact"/>
        <w:ind w:firstLine="420" w:firstLineChars="200"/>
        <w:rPr>
          <w:rFonts w:hint="eastAsia" w:ascii="仿宋" w:hAnsi="仿宋" w:eastAsia="仿宋" w:cs="仿宋"/>
          <w:color w:val="auto"/>
          <w:sz w:val="21"/>
          <w:szCs w:val="21"/>
          <w:highlight w:val="none"/>
        </w:rPr>
      </w:pPr>
    </w:p>
    <w:p w14:paraId="18CD09B4">
      <w:pPr>
        <w:spacing w:line="320" w:lineRule="exact"/>
        <w:ind w:firstLine="420" w:firstLineChars="200"/>
        <w:rPr>
          <w:rFonts w:hint="eastAsia" w:ascii="仿宋" w:hAnsi="仿宋" w:eastAsia="仿宋" w:cs="仿宋"/>
          <w:color w:val="auto"/>
          <w:sz w:val="21"/>
          <w:szCs w:val="21"/>
          <w:highlight w:val="none"/>
        </w:rPr>
      </w:pPr>
    </w:p>
    <w:p w14:paraId="7E4256A1">
      <w:pPr>
        <w:spacing w:line="320" w:lineRule="exact"/>
        <w:ind w:firstLine="420" w:firstLineChars="200"/>
        <w:rPr>
          <w:rFonts w:hint="eastAsia" w:ascii="仿宋" w:hAnsi="仿宋" w:eastAsia="仿宋" w:cs="仿宋"/>
          <w:color w:val="auto"/>
          <w:sz w:val="21"/>
          <w:szCs w:val="21"/>
          <w:highlight w:val="none"/>
        </w:rPr>
      </w:pPr>
    </w:p>
    <w:p w14:paraId="188FCEDC">
      <w:pPr>
        <w:spacing w:line="320" w:lineRule="exact"/>
        <w:ind w:firstLine="420" w:firstLineChars="200"/>
        <w:rPr>
          <w:rFonts w:hint="eastAsia" w:ascii="仿宋" w:hAnsi="仿宋" w:eastAsia="仿宋" w:cs="仿宋"/>
          <w:color w:val="auto"/>
          <w:sz w:val="21"/>
          <w:szCs w:val="21"/>
          <w:highlight w:val="none"/>
        </w:rPr>
      </w:pPr>
    </w:p>
    <w:p w14:paraId="32021E8E">
      <w:pPr>
        <w:spacing w:line="320" w:lineRule="exact"/>
        <w:ind w:firstLine="420" w:firstLineChars="200"/>
        <w:rPr>
          <w:rFonts w:hint="eastAsia" w:ascii="仿宋" w:hAnsi="仿宋" w:eastAsia="仿宋" w:cs="仿宋"/>
          <w:color w:val="auto"/>
          <w:sz w:val="21"/>
          <w:szCs w:val="21"/>
          <w:highlight w:val="none"/>
        </w:rPr>
      </w:pPr>
    </w:p>
    <w:p w14:paraId="68BC7D71">
      <w:pPr>
        <w:spacing w:line="320" w:lineRule="exact"/>
        <w:ind w:firstLine="420" w:firstLineChars="200"/>
        <w:rPr>
          <w:rFonts w:hint="eastAsia" w:ascii="仿宋" w:hAnsi="仿宋" w:eastAsia="仿宋" w:cs="仿宋"/>
          <w:color w:val="auto"/>
          <w:sz w:val="21"/>
          <w:szCs w:val="21"/>
          <w:highlight w:val="none"/>
        </w:rPr>
      </w:pPr>
    </w:p>
    <w:p w14:paraId="3040E754">
      <w:pPr>
        <w:spacing w:line="320" w:lineRule="exact"/>
        <w:ind w:firstLine="420" w:firstLineChars="200"/>
        <w:rPr>
          <w:rFonts w:hint="eastAsia" w:ascii="仿宋" w:hAnsi="仿宋" w:eastAsia="仿宋" w:cs="仿宋"/>
          <w:color w:val="auto"/>
          <w:sz w:val="21"/>
          <w:szCs w:val="21"/>
          <w:highlight w:val="none"/>
        </w:rPr>
      </w:pPr>
    </w:p>
    <w:p w14:paraId="2C2C29F4">
      <w:pPr>
        <w:spacing w:line="320" w:lineRule="exact"/>
        <w:ind w:firstLine="420" w:firstLineChars="200"/>
        <w:rPr>
          <w:rFonts w:hint="eastAsia" w:ascii="仿宋" w:hAnsi="仿宋" w:eastAsia="仿宋" w:cs="仿宋"/>
          <w:color w:val="auto"/>
          <w:sz w:val="21"/>
          <w:szCs w:val="21"/>
          <w:highlight w:val="none"/>
        </w:rPr>
      </w:pPr>
    </w:p>
    <w:p w14:paraId="566884FD">
      <w:pPr>
        <w:spacing w:line="320" w:lineRule="exact"/>
        <w:ind w:firstLine="420" w:firstLineChars="200"/>
        <w:rPr>
          <w:rFonts w:hint="eastAsia" w:ascii="仿宋" w:hAnsi="仿宋" w:eastAsia="仿宋" w:cs="仿宋"/>
          <w:color w:val="auto"/>
          <w:sz w:val="21"/>
          <w:szCs w:val="21"/>
          <w:highlight w:val="none"/>
        </w:rPr>
      </w:pPr>
    </w:p>
    <w:p w14:paraId="2914BF4D">
      <w:pPr>
        <w:spacing w:line="320" w:lineRule="exact"/>
        <w:ind w:firstLine="420" w:firstLineChars="200"/>
        <w:rPr>
          <w:rFonts w:hint="eastAsia" w:ascii="仿宋" w:hAnsi="仿宋" w:eastAsia="仿宋" w:cs="仿宋"/>
          <w:color w:val="auto"/>
          <w:sz w:val="21"/>
          <w:szCs w:val="21"/>
          <w:highlight w:val="none"/>
        </w:rPr>
      </w:pPr>
    </w:p>
    <w:p w14:paraId="6DE9F8E1">
      <w:pPr>
        <w:spacing w:line="320" w:lineRule="exact"/>
        <w:ind w:firstLine="420" w:firstLineChars="200"/>
        <w:rPr>
          <w:rFonts w:hint="eastAsia" w:ascii="仿宋" w:hAnsi="仿宋" w:eastAsia="仿宋" w:cs="仿宋"/>
          <w:color w:val="auto"/>
          <w:sz w:val="21"/>
          <w:szCs w:val="21"/>
          <w:highlight w:val="none"/>
        </w:rPr>
      </w:pPr>
    </w:p>
    <w:p w14:paraId="10997564">
      <w:pPr>
        <w:spacing w:line="320" w:lineRule="exact"/>
        <w:ind w:firstLine="420" w:firstLineChars="200"/>
        <w:rPr>
          <w:rFonts w:hint="eastAsia" w:ascii="仿宋" w:hAnsi="仿宋" w:eastAsia="仿宋" w:cs="仿宋"/>
          <w:color w:val="auto"/>
          <w:sz w:val="21"/>
          <w:szCs w:val="21"/>
          <w:highlight w:val="none"/>
        </w:rPr>
      </w:pPr>
    </w:p>
    <w:p w14:paraId="37E270A3">
      <w:pPr>
        <w:spacing w:line="320" w:lineRule="exact"/>
        <w:ind w:firstLine="420" w:firstLineChars="200"/>
        <w:rPr>
          <w:rFonts w:hint="eastAsia" w:ascii="仿宋" w:hAnsi="仿宋" w:eastAsia="仿宋" w:cs="仿宋"/>
          <w:color w:val="auto"/>
          <w:sz w:val="21"/>
          <w:szCs w:val="21"/>
          <w:highlight w:val="none"/>
        </w:rPr>
      </w:pPr>
    </w:p>
    <w:p w14:paraId="5CD557E1">
      <w:pPr>
        <w:spacing w:line="320" w:lineRule="exact"/>
        <w:ind w:firstLine="420" w:firstLineChars="200"/>
        <w:rPr>
          <w:rFonts w:hint="eastAsia" w:ascii="仿宋" w:hAnsi="仿宋" w:eastAsia="仿宋" w:cs="仿宋"/>
          <w:color w:val="auto"/>
          <w:sz w:val="21"/>
          <w:szCs w:val="21"/>
          <w:highlight w:val="none"/>
        </w:rPr>
      </w:pPr>
    </w:p>
    <w:p w14:paraId="6D030DF3">
      <w:pPr>
        <w:spacing w:line="320" w:lineRule="exact"/>
        <w:ind w:firstLine="420" w:firstLineChars="200"/>
        <w:rPr>
          <w:rFonts w:hint="eastAsia" w:ascii="仿宋" w:hAnsi="仿宋" w:eastAsia="仿宋" w:cs="仿宋"/>
          <w:color w:val="auto"/>
          <w:sz w:val="21"/>
          <w:szCs w:val="21"/>
          <w:highlight w:val="none"/>
        </w:rPr>
      </w:pPr>
    </w:p>
    <w:p w14:paraId="30F98965">
      <w:pPr>
        <w:spacing w:line="320" w:lineRule="exact"/>
        <w:ind w:firstLine="420" w:firstLineChars="200"/>
        <w:rPr>
          <w:rFonts w:hint="eastAsia" w:ascii="仿宋" w:hAnsi="仿宋" w:eastAsia="仿宋" w:cs="仿宋"/>
          <w:color w:val="auto"/>
          <w:sz w:val="21"/>
          <w:szCs w:val="21"/>
          <w:highlight w:val="none"/>
        </w:rPr>
      </w:pPr>
    </w:p>
    <w:p w14:paraId="0B962850">
      <w:pPr>
        <w:spacing w:line="320" w:lineRule="exact"/>
        <w:ind w:firstLine="420" w:firstLineChars="200"/>
        <w:rPr>
          <w:rFonts w:hint="eastAsia" w:ascii="仿宋" w:hAnsi="仿宋" w:eastAsia="仿宋" w:cs="仿宋"/>
          <w:color w:val="auto"/>
          <w:sz w:val="21"/>
          <w:szCs w:val="21"/>
          <w:highlight w:val="none"/>
        </w:rPr>
      </w:pPr>
    </w:p>
    <w:p w14:paraId="1213E996">
      <w:pPr>
        <w:spacing w:line="320" w:lineRule="exact"/>
        <w:ind w:firstLine="420" w:firstLineChars="200"/>
        <w:rPr>
          <w:rFonts w:hint="eastAsia" w:ascii="仿宋" w:hAnsi="仿宋" w:eastAsia="仿宋" w:cs="仿宋"/>
          <w:color w:val="auto"/>
          <w:sz w:val="21"/>
          <w:szCs w:val="21"/>
          <w:highlight w:val="none"/>
        </w:rPr>
      </w:pPr>
    </w:p>
    <w:p w14:paraId="20800ADD">
      <w:pPr>
        <w:spacing w:line="320" w:lineRule="exact"/>
        <w:ind w:firstLine="420" w:firstLineChars="200"/>
        <w:rPr>
          <w:rFonts w:hint="eastAsia" w:ascii="仿宋" w:hAnsi="仿宋" w:eastAsia="仿宋" w:cs="仿宋"/>
          <w:color w:val="auto"/>
          <w:sz w:val="21"/>
          <w:szCs w:val="21"/>
          <w:highlight w:val="none"/>
        </w:rPr>
      </w:pPr>
    </w:p>
    <w:p w14:paraId="6D50C7D5">
      <w:pPr>
        <w:spacing w:line="320" w:lineRule="exact"/>
        <w:ind w:firstLine="420" w:firstLineChars="200"/>
        <w:rPr>
          <w:rFonts w:hint="eastAsia" w:ascii="仿宋" w:hAnsi="仿宋" w:eastAsia="仿宋" w:cs="仿宋"/>
          <w:color w:val="auto"/>
          <w:sz w:val="21"/>
          <w:szCs w:val="21"/>
          <w:highlight w:val="none"/>
        </w:rPr>
      </w:pPr>
    </w:p>
    <w:p w14:paraId="2A3BE682">
      <w:pPr>
        <w:spacing w:line="320" w:lineRule="exact"/>
        <w:ind w:firstLine="420" w:firstLineChars="200"/>
        <w:rPr>
          <w:rFonts w:hint="eastAsia" w:ascii="仿宋" w:hAnsi="仿宋" w:eastAsia="仿宋" w:cs="仿宋"/>
          <w:color w:val="auto"/>
          <w:sz w:val="21"/>
          <w:szCs w:val="21"/>
          <w:highlight w:val="none"/>
        </w:rPr>
      </w:pPr>
    </w:p>
    <w:p w14:paraId="3A930988">
      <w:pPr>
        <w:spacing w:line="320" w:lineRule="exact"/>
        <w:ind w:firstLine="420" w:firstLineChars="200"/>
        <w:rPr>
          <w:rFonts w:hint="eastAsia" w:ascii="仿宋" w:hAnsi="仿宋" w:eastAsia="仿宋" w:cs="仿宋"/>
          <w:color w:val="auto"/>
          <w:sz w:val="21"/>
          <w:szCs w:val="21"/>
          <w:highlight w:val="none"/>
        </w:rPr>
      </w:pPr>
    </w:p>
    <w:p w14:paraId="1ADD6131">
      <w:pPr>
        <w:spacing w:line="320" w:lineRule="exact"/>
        <w:ind w:firstLine="420" w:firstLineChars="200"/>
        <w:rPr>
          <w:rFonts w:hint="eastAsia" w:ascii="仿宋" w:hAnsi="仿宋" w:eastAsia="仿宋" w:cs="仿宋"/>
          <w:color w:val="auto"/>
          <w:sz w:val="21"/>
          <w:szCs w:val="21"/>
          <w:highlight w:val="none"/>
        </w:rPr>
      </w:pPr>
    </w:p>
    <w:p w14:paraId="6D02412B">
      <w:pPr>
        <w:spacing w:line="320" w:lineRule="exact"/>
        <w:ind w:firstLine="420" w:firstLineChars="200"/>
        <w:rPr>
          <w:rFonts w:hint="eastAsia" w:ascii="仿宋" w:hAnsi="仿宋" w:eastAsia="仿宋" w:cs="仿宋"/>
          <w:color w:val="auto"/>
          <w:sz w:val="21"/>
          <w:szCs w:val="21"/>
          <w:highlight w:val="none"/>
        </w:rPr>
      </w:pPr>
    </w:p>
    <w:p w14:paraId="2439CC42">
      <w:pPr>
        <w:spacing w:line="320" w:lineRule="exact"/>
        <w:ind w:firstLine="420" w:firstLineChars="200"/>
        <w:rPr>
          <w:rFonts w:hint="eastAsia" w:ascii="仿宋" w:hAnsi="仿宋" w:eastAsia="仿宋" w:cs="仿宋"/>
          <w:color w:val="auto"/>
          <w:sz w:val="21"/>
          <w:szCs w:val="21"/>
          <w:highlight w:val="none"/>
        </w:rPr>
      </w:pPr>
    </w:p>
    <w:p w14:paraId="5445EC2B">
      <w:pPr>
        <w:spacing w:line="320" w:lineRule="exact"/>
        <w:ind w:firstLine="420" w:firstLineChars="200"/>
        <w:rPr>
          <w:rFonts w:hint="eastAsia" w:ascii="仿宋" w:hAnsi="仿宋" w:eastAsia="仿宋" w:cs="仿宋"/>
          <w:color w:val="auto"/>
          <w:sz w:val="21"/>
          <w:szCs w:val="21"/>
          <w:highlight w:val="none"/>
        </w:rPr>
      </w:pPr>
    </w:p>
    <w:p w14:paraId="3BC2A2AF">
      <w:pPr>
        <w:spacing w:line="320" w:lineRule="exact"/>
        <w:ind w:firstLine="420" w:firstLineChars="200"/>
        <w:rPr>
          <w:rFonts w:hint="eastAsia" w:ascii="仿宋" w:hAnsi="仿宋" w:eastAsia="仿宋" w:cs="仿宋"/>
          <w:color w:val="auto"/>
          <w:sz w:val="21"/>
          <w:szCs w:val="21"/>
          <w:highlight w:val="none"/>
        </w:rPr>
      </w:pPr>
    </w:p>
    <w:p w14:paraId="38BF73EE">
      <w:pP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 xml:space="preserve"> </w:t>
      </w:r>
    </w:p>
    <w:p w14:paraId="79F089B4">
      <w:pPr>
        <w:rPr>
          <w:rFonts w:hint="eastAsia" w:ascii="仿宋" w:hAnsi="仿宋" w:eastAsia="仿宋" w:cs="仿宋"/>
          <w:color w:val="auto"/>
          <w:highlight w:val="none"/>
        </w:rPr>
      </w:pPr>
    </w:p>
    <w:p w14:paraId="2CF794EB">
      <w:pPr>
        <w:rPr>
          <w:rFonts w:hint="eastAsia" w:ascii="仿宋" w:hAnsi="仿宋" w:eastAsia="仿宋" w:cs="仿宋"/>
          <w:color w:val="auto"/>
          <w:highlight w:val="none"/>
        </w:rPr>
      </w:pPr>
      <w:r>
        <w:rPr>
          <w:rFonts w:hint="eastAsia" w:ascii="仿宋" w:hAnsi="仿宋" w:eastAsia="仿宋" w:cs="仿宋"/>
          <w:color w:val="auto"/>
          <w:highlight w:val="none"/>
        </w:rPr>
        <w:t>附件：</w:t>
      </w:r>
    </w:p>
    <w:p w14:paraId="6C642FB2">
      <w:pPr>
        <w:spacing w:before="44"/>
        <w:ind w:left="1055" w:right="1174"/>
        <w:jc w:val="center"/>
        <w:rPr>
          <w:rFonts w:hint="eastAsia" w:ascii="仿宋" w:hAnsi="仿宋" w:eastAsia="仿宋" w:cs="仿宋"/>
          <w:b/>
          <w:bCs/>
          <w:color w:val="auto"/>
          <w:sz w:val="32"/>
          <w:highlight w:val="none"/>
        </w:rPr>
      </w:pPr>
      <w:r>
        <w:rPr>
          <w:rFonts w:hint="eastAsia" w:ascii="仿宋" w:hAnsi="仿宋" w:eastAsia="仿宋" w:cs="仿宋"/>
          <w:b/>
          <w:bCs/>
          <w:color w:val="auto"/>
          <w:sz w:val="32"/>
          <w:highlight w:val="none"/>
        </w:rPr>
        <w:t>安徽建工集团电子采购操作规程</w:t>
      </w:r>
    </w:p>
    <w:p w14:paraId="499BCB88">
      <w:pPr>
        <w:pStyle w:val="9"/>
        <w:spacing w:before="9"/>
        <w:rPr>
          <w:rFonts w:hint="eastAsia" w:ascii="仿宋" w:hAnsi="仿宋" w:eastAsia="仿宋" w:cs="仿宋"/>
          <w:color w:val="auto"/>
          <w:sz w:val="21"/>
          <w:szCs w:val="21"/>
          <w:highlight w:val="none"/>
        </w:rPr>
      </w:pPr>
    </w:p>
    <w:p w14:paraId="4FDD09BA">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5"/>
          <w:sz w:val="21"/>
          <w:szCs w:val="21"/>
          <w:highlight w:val="none"/>
        </w:rPr>
        <w:t>【电子采购】第一条 本规程所指的电子采购，是指以数据电文形式，依托电子招采平台完成的采购交易、服务保障和监督活动</w:t>
      </w:r>
      <w:r>
        <w:rPr>
          <w:rFonts w:hint="eastAsia" w:ascii="仿宋" w:hAnsi="仿宋" w:eastAsia="仿宋" w:cs="仿宋"/>
          <w:color w:val="auto"/>
          <w:sz w:val="21"/>
          <w:szCs w:val="21"/>
          <w:highlight w:val="none"/>
        </w:rPr>
        <w:t>。</w:t>
      </w:r>
    </w:p>
    <w:p w14:paraId="72F6A4B2">
      <w:pPr>
        <w:pStyle w:val="9"/>
        <w:spacing w:before="2" w:line="312" w:lineRule="auto"/>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【职责分工】第二条 安徽建工集团股份有限公司（以下简称“股份公司”）招标中心负责安徽建工集团电子化招采平台（以下简称“招采平台”）管理和平台内运行的采购项目的监督、服务，并运行制度规定项目的采购活动；</w:t>
      </w:r>
    </w:p>
    <w:p w14:paraId="021AF437">
      <w:pPr>
        <w:pStyle w:val="9"/>
        <w:spacing w:before="2"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6"/>
          <w:sz w:val="21"/>
          <w:szCs w:val="21"/>
          <w:highlight w:val="none"/>
        </w:rPr>
        <w:t>安徽建工集团所属单位负责本单位采购项目的运行、监督和管理</w:t>
      </w:r>
      <w:r>
        <w:rPr>
          <w:rFonts w:hint="eastAsia" w:ascii="仿宋" w:hAnsi="仿宋" w:eastAsia="仿宋" w:cs="仿宋"/>
          <w:color w:val="auto"/>
          <w:sz w:val="21"/>
          <w:szCs w:val="21"/>
          <w:highlight w:val="none"/>
        </w:rPr>
        <w:t>。</w:t>
      </w:r>
    </w:p>
    <w:p w14:paraId="30680D71">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【招采平台】第三条 采购活动当事人通过数据电文形式完成采购交易活</w:t>
      </w:r>
      <w:r>
        <w:rPr>
          <w:rFonts w:hint="eastAsia" w:ascii="仿宋" w:hAnsi="仿宋" w:eastAsia="仿宋" w:cs="仿宋"/>
          <w:color w:val="auto"/>
          <w:sz w:val="21"/>
          <w:szCs w:val="21"/>
          <w:highlight w:val="none"/>
        </w:rPr>
        <w:t>动的平台，具备用于在线完成股份公司采购全部交易过程，编辑、生成、对接、交换和发布有关采购数据信息功能，为相关部门实施监督、监察和受理投诉提供所需的信息通道。</w:t>
      </w:r>
    </w:p>
    <w:p w14:paraId="2F429387">
      <w:pPr>
        <w:pStyle w:val="9"/>
        <w:spacing w:before="2" w:line="312" w:lineRule="auto"/>
        <w:ind w:right="112"/>
        <w:rPr>
          <w:rFonts w:hint="eastAsia" w:ascii="仿宋" w:hAnsi="仿宋" w:eastAsia="仿宋" w:cs="仿宋"/>
          <w:color w:val="auto"/>
          <w:sz w:val="21"/>
          <w:szCs w:val="21"/>
          <w:highlight w:val="none"/>
        </w:rPr>
      </w:pPr>
      <w:r>
        <w:rPr>
          <w:rFonts w:hint="eastAsia" w:ascii="仿宋" w:hAnsi="仿宋" w:eastAsia="仿宋" w:cs="仿宋"/>
          <w:color w:val="auto"/>
          <w:spacing w:val="-5"/>
          <w:sz w:val="21"/>
          <w:szCs w:val="21"/>
          <w:highlight w:val="none"/>
        </w:rPr>
        <w:t xml:space="preserve">【供应商注册】第四条 </w:t>
      </w:r>
      <w:r>
        <w:rPr>
          <w:rFonts w:hint="eastAsia" w:ascii="仿宋" w:hAnsi="仿宋" w:eastAsia="仿宋" w:cs="仿宋"/>
          <w:color w:val="auto"/>
          <w:sz w:val="21"/>
          <w:szCs w:val="21"/>
          <w:highlight w:val="none"/>
        </w:rPr>
        <w:t>股份公司招标中心负责注册登记供应商的日常管理，对注册登记的供应商资料进行线上审核。</w:t>
      </w:r>
    </w:p>
    <w:p w14:paraId="06ED8728">
      <w:pPr>
        <w:pStyle w:val="9"/>
        <w:spacing w:before="2" w:line="312" w:lineRule="auto"/>
        <w:ind w:right="112"/>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通过审核的供应商应及时对其注册的信息进行维护，对信息的真实性、准确性和完整性负责。当供应商提交的文字信息与上传的扫描件信息不一致时，以扫描件为准。</w:t>
      </w:r>
    </w:p>
    <w:p w14:paraId="39916C49">
      <w:pPr>
        <w:pStyle w:val="9"/>
        <w:spacing w:before="94" w:line="312" w:lineRule="auto"/>
        <w:ind w:right="185"/>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【数字证书】第五条 审核通过的供应商向CA公司申领数字证书，并妥善保管，由于数字证书遗失、损坏、更换、续期等情况导致投标（响应）文件无法上传或解密，由供应商自行承担责任。</w:t>
      </w:r>
    </w:p>
    <w:p w14:paraId="62B5B395">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【采购文件制作】第六条 采购人应在采购公告和采购文件中明确</w:t>
      </w:r>
      <w:r>
        <w:rPr>
          <w:rFonts w:hint="eastAsia" w:ascii="仿宋" w:hAnsi="仿宋" w:eastAsia="仿宋" w:cs="仿宋"/>
          <w:color w:val="auto"/>
          <w:sz w:val="21"/>
          <w:szCs w:val="21"/>
          <w:highlight w:val="none"/>
        </w:rPr>
        <w:t>招标项目采取电子采购方式，并按相关流程通过招采平台制作采购文件。</w:t>
      </w:r>
    </w:p>
    <w:p w14:paraId="2A3E04CB">
      <w:pPr>
        <w:pStyle w:val="9"/>
        <w:spacing w:line="312" w:lineRule="auto"/>
        <w:ind w:right="174"/>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【采购文件发布】第七条 采购公告、采购文件应由采购人在招采平台网站发布。</w:t>
      </w:r>
    </w:p>
    <w:p w14:paraId="4DF90C89">
      <w:pPr>
        <w:pStyle w:val="9"/>
        <w:spacing w:line="312" w:lineRule="auto"/>
        <w:ind w:right="174"/>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【采购文件获取】第八条  供应商登录招采平台</w:t>
      </w:r>
      <w:r>
        <w:rPr>
          <w:rFonts w:hint="eastAsia" w:ascii="仿宋" w:hAnsi="仿宋" w:eastAsia="仿宋" w:cs="仿宋"/>
          <w:color w:val="auto"/>
          <w:sz w:val="21"/>
          <w:szCs w:val="21"/>
          <w:highlight w:val="none"/>
        </w:rPr>
        <w:t>获取采购文件。</w:t>
      </w:r>
    </w:p>
    <w:p w14:paraId="4025874F">
      <w:pPr>
        <w:pStyle w:val="9"/>
        <w:spacing w:before="3" w:line="312" w:lineRule="auto"/>
        <w:ind w:right="112"/>
        <w:rPr>
          <w:rFonts w:hint="eastAsia" w:ascii="仿宋" w:hAnsi="仿宋" w:eastAsia="仿宋" w:cs="仿宋"/>
          <w:color w:val="auto"/>
          <w:sz w:val="21"/>
          <w:szCs w:val="21"/>
          <w:highlight w:val="none"/>
        </w:rPr>
      </w:pPr>
      <w:r>
        <w:rPr>
          <w:rFonts w:hint="eastAsia" w:ascii="仿宋" w:hAnsi="仿宋" w:eastAsia="仿宋" w:cs="仿宋"/>
          <w:color w:val="auto"/>
          <w:spacing w:val="-5"/>
          <w:sz w:val="21"/>
          <w:szCs w:val="21"/>
          <w:highlight w:val="none"/>
        </w:rPr>
        <w:t>【采购文件澄清、修改】第</w:t>
      </w:r>
      <w:r>
        <w:rPr>
          <w:rFonts w:hint="eastAsia" w:ascii="仿宋" w:hAnsi="仿宋" w:eastAsia="仿宋" w:cs="仿宋"/>
          <w:color w:val="auto"/>
          <w:sz w:val="21"/>
          <w:szCs w:val="21"/>
          <w:highlight w:val="none"/>
        </w:rPr>
        <w:t>九</w:t>
      </w:r>
      <w:r>
        <w:rPr>
          <w:rFonts w:hint="eastAsia" w:ascii="仿宋" w:hAnsi="仿宋" w:eastAsia="仿宋" w:cs="仿宋"/>
          <w:color w:val="auto"/>
          <w:spacing w:val="-5"/>
          <w:sz w:val="21"/>
          <w:szCs w:val="21"/>
          <w:highlight w:val="none"/>
        </w:rPr>
        <w:t>条 澄清、修改文件应由采购人在招采平台</w:t>
      </w:r>
      <w:r>
        <w:rPr>
          <w:rFonts w:hint="eastAsia" w:ascii="仿宋" w:hAnsi="仿宋" w:eastAsia="仿宋" w:cs="仿宋"/>
          <w:color w:val="auto"/>
          <w:spacing w:val="-8"/>
          <w:sz w:val="21"/>
          <w:szCs w:val="21"/>
          <w:highlight w:val="none"/>
        </w:rPr>
        <w:t>网站发布，供应商应及时查阅相关澄清、</w:t>
      </w:r>
      <w:r>
        <w:rPr>
          <w:rFonts w:hint="eastAsia" w:ascii="仿宋" w:hAnsi="仿宋" w:eastAsia="仿宋" w:cs="仿宋"/>
          <w:color w:val="auto"/>
          <w:sz w:val="21"/>
          <w:szCs w:val="21"/>
          <w:highlight w:val="none"/>
        </w:rPr>
        <w:t>修改信息。</w:t>
      </w:r>
    </w:p>
    <w:p w14:paraId="3F142D36">
      <w:pPr>
        <w:pStyle w:val="9"/>
        <w:spacing w:line="312" w:lineRule="auto"/>
        <w:ind w:right="174"/>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【投标（响应）文件制作】第</w:t>
      </w:r>
      <w:r>
        <w:rPr>
          <w:rFonts w:hint="eastAsia" w:ascii="仿宋" w:hAnsi="仿宋" w:eastAsia="仿宋" w:cs="仿宋"/>
          <w:color w:val="auto"/>
          <w:spacing w:val="-7"/>
          <w:sz w:val="21"/>
          <w:szCs w:val="21"/>
          <w:highlight w:val="none"/>
        </w:rPr>
        <w:t>十</w:t>
      </w:r>
      <w:r>
        <w:rPr>
          <w:rFonts w:hint="eastAsia" w:ascii="仿宋" w:hAnsi="仿宋" w:eastAsia="仿宋" w:cs="仿宋"/>
          <w:color w:val="auto"/>
          <w:sz w:val="21"/>
          <w:szCs w:val="21"/>
          <w:highlight w:val="none"/>
        </w:rPr>
        <w:t>条 供应商应使用电子标书制作软件制作投标（响应）文件，电子标书制作软件允许供应商离线编制投标（响应）文件，并且具备分段或整体加密、解密功能。</w:t>
      </w:r>
    </w:p>
    <w:p w14:paraId="2805BD59">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【投标（响应）文件上传】第</w:t>
      </w:r>
      <w:r>
        <w:rPr>
          <w:rFonts w:hint="eastAsia" w:ascii="仿宋" w:hAnsi="仿宋" w:eastAsia="仿宋" w:cs="仿宋"/>
          <w:color w:val="auto"/>
          <w:spacing w:val="-5"/>
          <w:sz w:val="21"/>
          <w:szCs w:val="21"/>
          <w:highlight w:val="none"/>
        </w:rPr>
        <w:t>十一</w:t>
      </w:r>
      <w:r>
        <w:rPr>
          <w:rFonts w:hint="eastAsia" w:ascii="仿宋" w:hAnsi="仿宋" w:eastAsia="仿宋" w:cs="仿宋"/>
          <w:color w:val="auto"/>
          <w:spacing w:val="-7"/>
          <w:sz w:val="21"/>
          <w:szCs w:val="21"/>
          <w:highlight w:val="none"/>
        </w:rPr>
        <w:t>条 供应商必须对投标（响应）文件进行电子签章并使用数字证书</w:t>
      </w:r>
      <w:r>
        <w:rPr>
          <w:rFonts w:hint="eastAsia" w:ascii="仿宋" w:hAnsi="仿宋" w:eastAsia="仿宋" w:cs="仿宋"/>
          <w:color w:val="auto"/>
          <w:sz w:val="21"/>
          <w:szCs w:val="21"/>
          <w:highlight w:val="none"/>
        </w:rPr>
        <w:t>加密，并于采购文件规定的投标截止时间前通过招采平台完成上传。</w:t>
      </w:r>
    </w:p>
    <w:p w14:paraId="5787BE1B">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供应商对加密的投标（响应）文件进行撤回的，应通过招采平台在投标截止时间前直接进行撤回操作；供应商对加密的投标（响应）文件进行修改的，应在投标截止时间前完成上传。</w:t>
      </w:r>
    </w:p>
    <w:p w14:paraId="68842B0B">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5"/>
          <w:sz w:val="21"/>
          <w:szCs w:val="21"/>
          <w:highlight w:val="none"/>
        </w:rPr>
        <w:t>【投标截止时间】第</w:t>
      </w:r>
      <w:r>
        <w:rPr>
          <w:rFonts w:hint="eastAsia" w:ascii="仿宋" w:hAnsi="仿宋" w:eastAsia="仿宋" w:cs="仿宋"/>
          <w:color w:val="auto"/>
          <w:spacing w:val="-7"/>
          <w:sz w:val="21"/>
          <w:szCs w:val="21"/>
          <w:highlight w:val="none"/>
        </w:rPr>
        <w:t>十二</w:t>
      </w:r>
      <w:r>
        <w:rPr>
          <w:rFonts w:hint="eastAsia" w:ascii="仿宋" w:hAnsi="仿宋" w:eastAsia="仿宋" w:cs="仿宋"/>
          <w:color w:val="auto"/>
          <w:spacing w:val="-5"/>
          <w:sz w:val="21"/>
          <w:szCs w:val="21"/>
          <w:highlight w:val="none"/>
        </w:rPr>
        <w:t>条 投标截止时间以招采平台显示的时间为准，逾期</w:t>
      </w:r>
      <w:r>
        <w:rPr>
          <w:rFonts w:hint="eastAsia" w:ascii="仿宋" w:hAnsi="仿宋" w:eastAsia="仿宋" w:cs="仿宋"/>
          <w:color w:val="auto"/>
          <w:sz w:val="21"/>
          <w:szCs w:val="21"/>
          <w:highlight w:val="none"/>
        </w:rPr>
        <w:t>系统将自动关闭, 未完成上传的投标（响应）文件将被拒绝。</w:t>
      </w:r>
    </w:p>
    <w:p w14:paraId="53871F0E">
      <w:pPr>
        <w:pStyle w:val="9"/>
        <w:spacing w:before="3"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【开标环节】第</w:t>
      </w:r>
      <w:r>
        <w:rPr>
          <w:rFonts w:hint="eastAsia" w:ascii="仿宋" w:hAnsi="仿宋" w:eastAsia="仿宋" w:cs="仿宋"/>
          <w:color w:val="auto"/>
          <w:spacing w:val="-6"/>
          <w:sz w:val="21"/>
          <w:szCs w:val="21"/>
          <w:highlight w:val="none"/>
        </w:rPr>
        <w:t>十三</w:t>
      </w:r>
      <w:r>
        <w:rPr>
          <w:rFonts w:hint="eastAsia" w:ascii="仿宋" w:hAnsi="仿宋" w:eastAsia="仿宋" w:cs="仿宋"/>
          <w:color w:val="auto"/>
          <w:spacing w:val="-7"/>
          <w:sz w:val="21"/>
          <w:szCs w:val="21"/>
          <w:highlight w:val="none"/>
        </w:rPr>
        <w:t>条 供应商须按照采购文件的要求在投标截止时间以前登录招采平台</w:t>
      </w:r>
      <w:r>
        <w:rPr>
          <w:rFonts w:hint="eastAsia" w:ascii="仿宋" w:hAnsi="仿宋" w:eastAsia="仿宋" w:cs="仿宋"/>
          <w:color w:val="auto"/>
          <w:sz w:val="21"/>
          <w:szCs w:val="21"/>
          <w:highlight w:val="none"/>
        </w:rPr>
        <w:t>并保持在线，直到项目评审结束。</w:t>
      </w:r>
    </w:p>
    <w:p w14:paraId="1340B254">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采购文件约定须到达现场进行演示、答辩、磋商、谈判的情形，供应商应按照招标（磋商、谈判）文件规定的时间到达现场。</w:t>
      </w:r>
    </w:p>
    <w:p w14:paraId="28F4E0B9">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供应商在投标截止时间后按采购文件规定的解密时间完成投标（响应）文件解密，加密和解密须用同一数字证书。供应商未在采购文件规定的时间内完成解密的视为其放弃投标。</w:t>
      </w:r>
    </w:p>
    <w:p w14:paraId="16083F9F">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采购人完成解密，导入并读取所有成功解密的投标（响应）文件，系统自动记录开标过程。</w:t>
      </w:r>
    </w:p>
    <w:p w14:paraId="2D051BAE">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6"/>
          <w:sz w:val="21"/>
          <w:szCs w:val="21"/>
          <w:highlight w:val="none"/>
        </w:rPr>
        <w:t>【评标环节】第十四条 采购人组织评标，评标委员会依据采购文件</w:t>
      </w:r>
      <w:r>
        <w:rPr>
          <w:rFonts w:hint="eastAsia" w:ascii="仿宋" w:hAnsi="仿宋" w:eastAsia="仿宋" w:cs="仿宋"/>
          <w:color w:val="auto"/>
          <w:sz w:val="21"/>
          <w:szCs w:val="21"/>
          <w:highlight w:val="none"/>
        </w:rPr>
        <w:t>规定的评标办法进行电子评标，并对评标结果签字或电子签名确认。</w:t>
      </w:r>
    </w:p>
    <w:p w14:paraId="075D28BE">
      <w:pPr>
        <w:pStyle w:val="9"/>
        <w:spacing w:before="1"/>
        <w:ind w:left="593"/>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二次报价应按采购文件的要求提交。</w:t>
      </w:r>
    </w:p>
    <w:p w14:paraId="197985EB">
      <w:pPr>
        <w:pStyle w:val="9"/>
        <w:spacing w:before="91"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6"/>
          <w:sz w:val="21"/>
          <w:szCs w:val="21"/>
          <w:highlight w:val="none"/>
        </w:rPr>
        <w:t>【询标环节】第十五条 评标委员会通过招采平台将需要澄清、说明或补正的</w:t>
      </w:r>
      <w:r>
        <w:rPr>
          <w:rFonts w:hint="eastAsia" w:ascii="仿宋" w:hAnsi="仿宋" w:eastAsia="仿宋" w:cs="仿宋"/>
          <w:color w:val="auto"/>
          <w:sz w:val="21"/>
          <w:szCs w:val="21"/>
          <w:highlight w:val="none"/>
        </w:rPr>
        <w:t>内容以询标函的形式发送给供应商，供应商应登录招采平台并保持在线状态，以便及时接收评标委员会可能发出的询标函，并在规定时间内回复，若供应商未及时回复，视为放弃澄清。</w:t>
      </w:r>
    </w:p>
    <w:p w14:paraId="7B2692FF">
      <w:pPr>
        <w:pStyle w:val="9"/>
        <w:spacing w:before="121"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6"/>
          <w:sz w:val="21"/>
          <w:szCs w:val="21"/>
          <w:highlight w:val="none"/>
        </w:rPr>
        <w:t>【评标报告】第</w:t>
      </w:r>
      <w:r>
        <w:rPr>
          <w:rFonts w:hint="eastAsia" w:ascii="仿宋" w:hAnsi="仿宋" w:eastAsia="仿宋" w:cs="仿宋"/>
          <w:color w:val="auto"/>
          <w:spacing w:val="-7"/>
          <w:sz w:val="21"/>
          <w:szCs w:val="21"/>
          <w:highlight w:val="none"/>
        </w:rPr>
        <w:t>十六</w:t>
      </w:r>
      <w:r>
        <w:rPr>
          <w:rFonts w:hint="eastAsia" w:ascii="仿宋" w:hAnsi="仿宋" w:eastAsia="仿宋" w:cs="仿宋"/>
          <w:color w:val="auto"/>
          <w:spacing w:val="-6"/>
          <w:sz w:val="21"/>
          <w:szCs w:val="21"/>
          <w:highlight w:val="none"/>
        </w:rPr>
        <w:t>条 评标委员会完成评标后，应通过</w:t>
      </w:r>
      <w:r>
        <w:rPr>
          <w:rFonts w:hint="eastAsia" w:ascii="仿宋" w:hAnsi="仿宋" w:eastAsia="仿宋" w:cs="仿宋"/>
          <w:color w:val="auto"/>
          <w:sz w:val="21"/>
          <w:szCs w:val="21"/>
          <w:highlight w:val="none"/>
        </w:rPr>
        <w:t>招采平台</w:t>
      </w:r>
      <w:r>
        <w:rPr>
          <w:rFonts w:hint="eastAsia" w:ascii="仿宋" w:hAnsi="仿宋" w:eastAsia="仿宋" w:cs="仿宋"/>
          <w:color w:val="auto"/>
          <w:spacing w:val="-6"/>
          <w:sz w:val="21"/>
          <w:szCs w:val="21"/>
          <w:highlight w:val="none"/>
        </w:rPr>
        <w:t>提交评标报</w:t>
      </w:r>
      <w:r>
        <w:rPr>
          <w:rFonts w:hint="eastAsia" w:ascii="仿宋" w:hAnsi="仿宋" w:eastAsia="仿宋" w:cs="仿宋"/>
          <w:color w:val="auto"/>
          <w:sz w:val="21"/>
          <w:szCs w:val="21"/>
          <w:highlight w:val="none"/>
        </w:rPr>
        <w:t>告。</w:t>
      </w:r>
    </w:p>
    <w:p w14:paraId="452AC520">
      <w:pPr>
        <w:pStyle w:val="9"/>
        <w:spacing w:before="1"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【结果公示】第</w:t>
      </w:r>
      <w:r>
        <w:rPr>
          <w:rFonts w:hint="eastAsia" w:ascii="仿宋" w:hAnsi="仿宋" w:eastAsia="仿宋" w:cs="仿宋"/>
          <w:color w:val="auto"/>
          <w:spacing w:val="-6"/>
          <w:sz w:val="21"/>
          <w:szCs w:val="21"/>
          <w:highlight w:val="none"/>
        </w:rPr>
        <w:t>十七</w:t>
      </w:r>
      <w:r>
        <w:rPr>
          <w:rFonts w:hint="eastAsia" w:ascii="仿宋" w:hAnsi="仿宋" w:eastAsia="仿宋" w:cs="仿宋"/>
          <w:color w:val="auto"/>
          <w:spacing w:val="-7"/>
          <w:sz w:val="21"/>
          <w:szCs w:val="21"/>
          <w:highlight w:val="none"/>
        </w:rPr>
        <w:t>条 采购人在招采平台</w:t>
      </w:r>
      <w:r>
        <w:rPr>
          <w:rFonts w:hint="eastAsia" w:ascii="仿宋" w:hAnsi="仿宋" w:eastAsia="仿宋" w:cs="仿宋"/>
          <w:color w:val="auto"/>
          <w:sz w:val="21"/>
          <w:szCs w:val="21"/>
          <w:highlight w:val="none"/>
        </w:rPr>
        <w:t>网站公示和公布中标候选人及中标结果。</w:t>
      </w:r>
    </w:p>
    <w:p w14:paraId="79DB015C">
      <w:pPr>
        <w:pStyle w:val="9"/>
        <w:spacing w:before="2"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6"/>
          <w:sz w:val="21"/>
          <w:szCs w:val="21"/>
          <w:highlight w:val="none"/>
        </w:rPr>
        <w:t>【中标通知书】第</w:t>
      </w:r>
      <w:r>
        <w:rPr>
          <w:rFonts w:hint="eastAsia" w:ascii="仿宋" w:hAnsi="仿宋" w:eastAsia="仿宋" w:cs="仿宋"/>
          <w:color w:val="auto"/>
          <w:spacing w:val="-7"/>
          <w:sz w:val="21"/>
          <w:szCs w:val="21"/>
          <w:highlight w:val="none"/>
        </w:rPr>
        <w:t>十八</w:t>
      </w:r>
      <w:r>
        <w:rPr>
          <w:rFonts w:hint="eastAsia" w:ascii="仿宋" w:hAnsi="仿宋" w:eastAsia="仿宋" w:cs="仿宋"/>
          <w:color w:val="auto"/>
          <w:spacing w:val="-6"/>
          <w:sz w:val="21"/>
          <w:szCs w:val="21"/>
          <w:highlight w:val="none"/>
        </w:rPr>
        <w:t>条 采购人确定中标人后，应通过招采平台向中标人</w:t>
      </w:r>
      <w:r>
        <w:rPr>
          <w:rFonts w:hint="eastAsia" w:ascii="仿宋" w:hAnsi="仿宋" w:eastAsia="仿宋" w:cs="仿宋"/>
          <w:color w:val="auto"/>
          <w:sz w:val="21"/>
          <w:szCs w:val="21"/>
          <w:highlight w:val="none"/>
        </w:rPr>
        <w:t>发出中标通知书，中标通知书发出即视为送达。</w:t>
      </w:r>
    </w:p>
    <w:p w14:paraId="0C8284DC">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pacing w:val="-7"/>
          <w:sz w:val="21"/>
          <w:szCs w:val="21"/>
          <w:highlight w:val="none"/>
        </w:rPr>
        <w:t>【意外情况】第</w:t>
      </w:r>
      <w:r>
        <w:rPr>
          <w:rFonts w:hint="eastAsia" w:ascii="仿宋" w:hAnsi="仿宋" w:eastAsia="仿宋" w:cs="仿宋"/>
          <w:color w:val="auto"/>
          <w:spacing w:val="-14"/>
          <w:sz w:val="21"/>
          <w:szCs w:val="21"/>
          <w:highlight w:val="none"/>
        </w:rPr>
        <w:t>十九</w:t>
      </w:r>
      <w:r>
        <w:rPr>
          <w:rFonts w:hint="eastAsia" w:ascii="仿宋" w:hAnsi="仿宋" w:eastAsia="仿宋" w:cs="仿宋"/>
          <w:color w:val="auto"/>
          <w:spacing w:val="-7"/>
          <w:sz w:val="21"/>
          <w:szCs w:val="21"/>
          <w:highlight w:val="none"/>
        </w:rPr>
        <w:t>条 出现下列情形导致招采平台无法正</w:t>
      </w:r>
      <w:r>
        <w:rPr>
          <w:rFonts w:hint="eastAsia" w:ascii="仿宋" w:hAnsi="仿宋" w:eastAsia="仿宋" w:cs="仿宋"/>
          <w:color w:val="auto"/>
          <w:sz w:val="21"/>
          <w:szCs w:val="21"/>
          <w:highlight w:val="none"/>
        </w:rPr>
        <w:t>常运行，影响采购过程的公平、公正和信息安全，经第三方机构认定后，各方当事人免责：</w:t>
      </w:r>
    </w:p>
    <w:p w14:paraId="7E041E01">
      <w:pPr>
        <w:pStyle w:val="9"/>
        <w:spacing w:before="1"/>
        <w:ind w:left="593"/>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（一）网络、服务器、数据库发生故障造成无法访问或使用的；</w:t>
      </w:r>
    </w:p>
    <w:p w14:paraId="29094F09">
      <w:pPr>
        <w:pStyle w:val="9"/>
        <w:spacing w:before="93"/>
        <w:ind w:left="593"/>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（二）电力系统发生故障导致招采平台无法运行；</w:t>
      </w:r>
    </w:p>
    <w:p w14:paraId="45312D3C">
      <w:pPr>
        <w:pStyle w:val="9"/>
        <w:spacing w:before="91"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（三）出现网络攻击、病毒入侵以及招采平台安全漏洞导致无法正常提供服务的；</w:t>
      </w:r>
    </w:p>
    <w:p w14:paraId="780DFFDE">
      <w:pPr>
        <w:pStyle w:val="9"/>
        <w:spacing w:before="2"/>
        <w:ind w:left="593"/>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（四）其他无法保证采购过程公平、公正和信息安全的情形。</w:t>
      </w:r>
    </w:p>
    <w:p w14:paraId="60DB4261">
      <w:pPr>
        <w:pStyle w:val="9"/>
        <w:spacing w:before="91" w:line="312" w:lineRule="auto"/>
        <w:ind w:right="112"/>
        <w:rPr>
          <w:rFonts w:hint="eastAsia" w:ascii="仿宋" w:hAnsi="仿宋" w:eastAsia="仿宋" w:cs="仿宋"/>
          <w:color w:val="auto"/>
          <w:sz w:val="21"/>
          <w:szCs w:val="21"/>
          <w:highlight w:val="none"/>
        </w:rPr>
      </w:pPr>
      <w:r>
        <w:rPr>
          <w:rFonts w:hint="eastAsia" w:ascii="仿宋" w:hAnsi="仿宋" w:eastAsia="仿宋" w:cs="仿宋"/>
          <w:color w:val="auto"/>
          <w:spacing w:val="-14"/>
          <w:sz w:val="21"/>
          <w:szCs w:val="21"/>
          <w:highlight w:val="none"/>
        </w:rPr>
        <w:t>【处理流程】第</w:t>
      </w:r>
      <w:r>
        <w:rPr>
          <w:rFonts w:hint="eastAsia" w:ascii="仿宋" w:hAnsi="仿宋" w:eastAsia="仿宋" w:cs="仿宋"/>
          <w:color w:val="auto"/>
          <w:sz w:val="21"/>
          <w:szCs w:val="21"/>
          <w:highlight w:val="none"/>
        </w:rPr>
        <w:t>二十</w:t>
      </w:r>
      <w:r>
        <w:rPr>
          <w:rFonts w:hint="eastAsia" w:ascii="仿宋" w:hAnsi="仿宋" w:eastAsia="仿宋" w:cs="仿宋"/>
          <w:color w:val="auto"/>
          <w:spacing w:val="-14"/>
          <w:sz w:val="21"/>
          <w:szCs w:val="21"/>
          <w:highlight w:val="none"/>
        </w:rPr>
        <w:t xml:space="preserve">条 出现上述情形，股份公司信息部及招标中心应及时组织相关方查明原因， </w:t>
      </w:r>
      <w:r>
        <w:rPr>
          <w:rFonts w:hint="eastAsia" w:ascii="仿宋" w:hAnsi="仿宋" w:eastAsia="仿宋" w:cs="仿宋"/>
          <w:color w:val="auto"/>
          <w:sz w:val="21"/>
          <w:szCs w:val="21"/>
          <w:highlight w:val="none"/>
        </w:rPr>
        <w:t>排除故障。若能保证在开标前恢复系统运行的，采购程序继续进行；若导致开评标</w:t>
      </w:r>
      <w:r>
        <w:rPr>
          <w:rFonts w:hint="eastAsia" w:ascii="仿宋" w:hAnsi="仿宋" w:eastAsia="仿宋" w:cs="仿宋"/>
          <w:color w:val="auto"/>
          <w:spacing w:val="-3"/>
          <w:sz w:val="21"/>
          <w:szCs w:val="21"/>
          <w:highlight w:val="none"/>
        </w:rPr>
        <w:t xml:space="preserve">程序无法按时开展，但能在原开标时间后 </w:t>
      </w:r>
      <w:r>
        <w:rPr>
          <w:rFonts w:hint="eastAsia" w:ascii="仿宋" w:hAnsi="仿宋" w:eastAsia="仿宋" w:cs="仿宋"/>
          <w:color w:val="auto"/>
          <w:sz w:val="21"/>
          <w:szCs w:val="21"/>
          <w:highlight w:val="none"/>
        </w:rPr>
        <w:t>1</w:t>
      </w:r>
      <w:r>
        <w:rPr>
          <w:rFonts w:hint="eastAsia" w:ascii="仿宋" w:hAnsi="仿宋" w:eastAsia="仿宋" w:cs="仿宋"/>
          <w:color w:val="auto"/>
          <w:spacing w:val="-7"/>
          <w:sz w:val="21"/>
          <w:szCs w:val="21"/>
          <w:highlight w:val="none"/>
        </w:rPr>
        <w:t xml:space="preserve"> 小时内恢复系统运行的，采购程序继续</w:t>
      </w:r>
      <w:r>
        <w:rPr>
          <w:rFonts w:hint="eastAsia" w:ascii="仿宋" w:hAnsi="仿宋" w:eastAsia="仿宋" w:cs="仿宋"/>
          <w:color w:val="auto"/>
          <w:sz w:val="21"/>
          <w:szCs w:val="21"/>
          <w:highlight w:val="none"/>
        </w:rPr>
        <w:t>进行；若导致开评标程序无法按时开展，在原开标时间后 1 小时内无法恢复系统运行的，按以下程序操作：</w:t>
      </w:r>
    </w:p>
    <w:p w14:paraId="6E0DEE57">
      <w:pPr>
        <w:pStyle w:val="9"/>
        <w:spacing w:before="2"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项目中止，中止期限由采购人根据项目具体情况确定。中止期限届满后中止情形尚未消除的，采购人可以根据实际情况决定延长中止期限。决定延长中止期限的，应向供应商发出延长中止期限通知，并在招采平台网站进行公布。</w:t>
      </w:r>
    </w:p>
    <w:p w14:paraId="4B82D07C">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（二）项目恢复，导致项目中止的情形消除后，采购人应当尽快恢复采购程序，向供应商发出恢复交易通知，并在招采平台网站进行公布；已发出延长中止期限通知的，按通知执行。</w:t>
      </w:r>
    </w:p>
    <w:p w14:paraId="52705947">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【其它】第二十一条  本规程涉及到的具体操作详见招采平台操作手册。</w:t>
      </w:r>
    </w:p>
    <w:p w14:paraId="31FA735C">
      <w:pPr>
        <w:pStyle w:val="9"/>
        <w:spacing w:line="312" w:lineRule="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【规程解释】第二十二条 本规程由安徽建工集团股份有限公司招标中心负责解释。</w:t>
      </w:r>
    </w:p>
    <w:p w14:paraId="6FE42D4C">
      <w:pPr>
        <w:rPr>
          <w:rFonts w:hint="eastAsia" w:ascii="仿宋" w:hAnsi="仿宋" w:eastAsia="仿宋" w:cs="仿宋"/>
          <w:color w:val="auto"/>
          <w:highlight w:val="none"/>
        </w:rPr>
      </w:pPr>
    </w:p>
    <w:p w14:paraId="580C57F3">
      <w:pPr>
        <w:rPr>
          <w:rFonts w:hint="eastAsia" w:ascii="仿宋" w:hAnsi="仿宋" w:eastAsia="仿宋" w:cs="仿宋"/>
          <w:color w:val="auto"/>
          <w:highlight w:val="none"/>
        </w:rPr>
      </w:pPr>
    </w:p>
    <w:p w14:paraId="30AB43B6">
      <w:pPr>
        <w:keepNext/>
        <w:keepLines/>
        <w:spacing w:before="120" w:after="120" w:line="360" w:lineRule="exact"/>
        <w:jc w:val="center"/>
        <w:outlineLvl w:val="1"/>
        <w:rPr>
          <w:rFonts w:hint="eastAsia" w:ascii="仿宋" w:hAnsi="仿宋" w:eastAsia="仿宋" w:cs="仿宋"/>
          <w:b/>
          <w:bCs/>
          <w:color w:val="auto"/>
          <w:sz w:val="32"/>
          <w:szCs w:val="32"/>
          <w:highlight w:val="none"/>
        </w:rPr>
      </w:pPr>
      <w:r>
        <w:rPr>
          <w:rFonts w:hint="eastAsia" w:ascii="仿宋" w:hAnsi="仿宋" w:eastAsia="仿宋" w:cs="仿宋"/>
          <w:color w:val="auto"/>
          <w:highlight w:val="none"/>
        </w:rPr>
        <w:br w:type="page"/>
      </w:r>
      <w:bookmarkStart w:id="107" w:name="_Toc7265"/>
      <w:r>
        <w:rPr>
          <w:rFonts w:hint="eastAsia" w:ascii="Times New Roman" w:hAnsi="Times New Roman" w:eastAsia="宋体" w:cs="Times New Roman"/>
          <w:b/>
          <w:bCs/>
          <w:color w:val="auto"/>
          <w:kern w:val="44"/>
          <w:sz w:val="32"/>
          <w:szCs w:val="32"/>
          <w:lang w:val="en-US" w:eastAsia="zh-CN" w:bidi="ar-SA"/>
        </w:rPr>
        <w:t>第三章 评标办法（最低价法A类）</w:t>
      </w:r>
      <w:bookmarkEnd w:id="107"/>
    </w:p>
    <w:p w14:paraId="65C81E39">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开标后，现场被宣布为无效标的投标人（含投标报价超过控制价）除外，按投标人报价</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如有不同税率，需进行折算）</w:t>
      </w:r>
      <w:r>
        <w:rPr>
          <w:rFonts w:hint="eastAsia" w:ascii="仿宋" w:hAnsi="仿宋" w:eastAsia="仿宋" w:cs="仿宋"/>
          <w:color w:val="auto"/>
          <w:sz w:val="21"/>
          <w:szCs w:val="21"/>
          <w:highlight w:val="none"/>
        </w:rPr>
        <w:t>从低到高依次进行资格审查、技术标（或技术方案、供货方案、服务方案等，下同）评标和商务标评标，评标均通过的即为预中标人。如投标人资格审查、技术标和商务标评标中任一项被判定为未通过评标，再按</w:t>
      </w:r>
      <w:r>
        <w:rPr>
          <w:rFonts w:hint="eastAsia" w:ascii="仿宋" w:hAnsi="仿宋" w:eastAsia="仿宋" w:cs="仿宋"/>
          <w:color w:val="auto"/>
          <w:sz w:val="21"/>
          <w:szCs w:val="21"/>
          <w:highlight w:val="none"/>
          <w:lang w:val="en-US" w:eastAsia="zh-CN"/>
        </w:rPr>
        <w:t>报</w:t>
      </w:r>
      <w:r>
        <w:rPr>
          <w:rFonts w:hint="eastAsia" w:ascii="仿宋" w:hAnsi="仿宋" w:eastAsia="仿宋" w:cs="仿宋"/>
          <w:color w:val="auto"/>
          <w:sz w:val="21"/>
          <w:szCs w:val="21"/>
          <w:highlight w:val="none"/>
        </w:rPr>
        <w:t>价由低到高依次进行递补，按顺序依次评出预中标人、预中标候选人。</w:t>
      </w:r>
    </w:p>
    <w:p w14:paraId="1CF63E58">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1.评审内容：</w:t>
      </w:r>
    </w:p>
    <w:p w14:paraId="524984E0">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1.1 资格审查</w:t>
      </w:r>
    </w:p>
    <w:p w14:paraId="021C9EB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资格审查文件</w:t>
      </w:r>
      <w:r>
        <w:rPr>
          <w:rFonts w:hint="eastAsia" w:ascii="仿宋" w:hAnsi="仿宋" w:eastAsia="仿宋" w:cs="仿宋"/>
          <w:color w:val="auto"/>
          <w:sz w:val="21"/>
          <w:szCs w:val="21"/>
          <w:highlight w:val="none"/>
          <w:lang w:val="en-US" w:eastAsia="zh-CN"/>
        </w:rPr>
        <w:t>有</w:t>
      </w:r>
      <w:r>
        <w:rPr>
          <w:rFonts w:hint="eastAsia" w:ascii="仿宋" w:hAnsi="仿宋" w:eastAsia="仿宋" w:cs="仿宋"/>
          <w:color w:val="auto"/>
          <w:sz w:val="21"/>
          <w:szCs w:val="21"/>
          <w:highlight w:val="none"/>
        </w:rPr>
        <w:t>以下情形之一</w:t>
      </w:r>
      <w:r>
        <w:rPr>
          <w:rFonts w:hint="eastAsia" w:ascii="仿宋" w:hAnsi="仿宋" w:eastAsia="仿宋" w:cs="仿宋"/>
          <w:color w:val="auto"/>
          <w:sz w:val="21"/>
          <w:szCs w:val="21"/>
          <w:highlight w:val="none"/>
          <w:lang w:val="en-US" w:eastAsia="zh-CN"/>
        </w:rPr>
        <w:t>不满足招标文件</w:t>
      </w:r>
      <w:r>
        <w:rPr>
          <w:rFonts w:hint="eastAsia" w:ascii="仿宋" w:hAnsi="仿宋" w:eastAsia="仿宋" w:cs="仿宋"/>
          <w:color w:val="auto"/>
          <w:sz w:val="21"/>
          <w:szCs w:val="21"/>
          <w:highlight w:val="none"/>
        </w:rPr>
        <w:t>的，资格审查不合格，投标文件为无效标：</w:t>
      </w:r>
    </w:p>
    <w:p w14:paraId="06EAF920">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1.1.1</w:t>
      </w:r>
      <w:r>
        <w:rPr>
          <w:rFonts w:hint="eastAsia" w:ascii="仿宋" w:hAnsi="仿宋" w:eastAsia="仿宋" w:cs="仿宋"/>
          <w:color w:val="auto"/>
          <w:sz w:val="21"/>
          <w:szCs w:val="21"/>
          <w:highlight w:val="none"/>
        </w:rPr>
        <w:t>营业执照</w:t>
      </w:r>
      <w:r>
        <w:rPr>
          <w:rFonts w:hint="eastAsia" w:ascii="仿宋" w:hAnsi="仿宋" w:eastAsia="仿宋" w:cs="仿宋"/>
          <w:color w:val="auto"/>
          <w:sz w:val="21"/>
          <w:szCs w:val="21"/>
          <w:highlight w:val="none"/>
          <w:lang w:val="en-US" w:eastAsia="zh-CN"/>
        </w:rPr>
        <w:t>要求</w:t>
      </w:r>
      <w:r>
        <w:rPr>
          <w:rFonts w:hint="eastAsia" w:ascii="仿宋" w:hAnsi="仿宋" w:eastAsia="仿宋" w:cs="仿宋"/>
          <w:color w:val="auto"/>
          <w:sz w:val="21"/>
          <w:szCs w:val="21"/>
          <w:highlight w:val="none"/>
        </w:rPr>
        <w:t>；</w:t>
      </w:r>
    </w:p>
    <w:p w14:paraId="023F5AF2">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1.1.2</w:t>
      </w:r>
      <w:r>
        <w:rPr>
          <w:rFonts w:hint="eastAsia" w:ascii="仿宋" w:hAnsi="仿宋" w:eastAsia="仿宋" w:cs="仿宋"/>
          <w:color w:val="auto"/>
          <w:sz w:val="21"/>
          <w:szCs w:val="21"/>
          <w:highlight w:val="none"/>
        </w:rPr>
        <w:t>业绩要求（若有）；</w:t>
      </w:r>
    </w:p>
    <w:p w14:paraId="6EC3BEA9">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1.1.3其他要求</w:t>
      </w:r>
      <w:r>
        <w:rPr>
          <w:rFonts w:hint="eastAsia" w:ascii="仿宋" w:hAnsi="仿宋" w:eastAsia="仿宋" w:cs="仿宋"/>
          <w:color w:val="auto"/>
          <w:sz w:val="21"/>
          <w:szCs w:val="21"/>
          <w:highlight w:val="none"/>
        </w:rPr>
        <w:t>，如生产许可证、特种设备制造许可证等（若有）；</w:t>
      </w:r>
    </w:p>
    <w:p w14:paraId="146B5376">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1.1.4</w:t>
      </w:r>
      <w:r>
        <w:rPr>
          <w:rFonts w:hint="eastAsia" w:ascii="仿宋" w:hAnsi="仿宋" w:eastAsia="仿宋" w:cs="仿宋"/>
          <w:color w:val="auto"/>
          <w:sz w:val="21"/>
          <w:szCs w:val="21"/>
          <w:highlight w:val="none"/>
        </w:rPr>
        <w:t>；限制投标情况</w:t>
      </w:r>
      <w:r>
        <w:rPr>
          <w:rFonts w:hint="eastAsia" w:ascii="仿宋" w:hAnsi="仿宋" w:eastAsia="仿宋" w:cs="仿宋"/>
          <w:color w:val="auto"/>
          <w:sz w:val="21"/>
          <w:szCs w:val="21"/>
          <w:highlight w:val="none"/>
          <w:lang w:eastAsia="zh-CN"/>
        </w:rPr>
        <w:t>。</w:t>
      </w:r>
    </w:p>
    <w:p w14:paraId="2B45CEB8">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1.2技术标评审</w:t>
      </w:r>
    </w:p>
    <w:p w14:paraId="68A153EF">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由评标委员会对</w:t>
      </w:r>
      <w:r>
        <w:rPr>
          <w:rFonts w:hint="eastAsia" w:ascii="仿宋" w:hAnsi="仿宋" w:eastAsia="仿宋" w:cs="仿宋"/>
          <w:color w:val="auto"/>
          <w:sz w:val="21"/>
          <w:szCs w:val="21"/>
          <w:highlight w:val="none"/>
          <w:lang w:val="en-US" w:eastAsia="zh-CN"/>
        </w:rPr>
        <w:t>通过上述1.1</w:t>
      </w:r>
      <w:r>
        <w:rPr>
          <w:rFonts w:hint="eastAsia" w:ascii="仿宋" w:hAnsi="仿宋" w:eastAsia="仿宋" w:cs="仿宋"/>
          <w:color w:val="auto"/>
          <w:sz w:val="21"/>
          <w:szCs w:val="21"/>
          <w:highlight w:val="none"/>
        </w:rPr>
        <w:t>资格</w:t>
      </w:r>
      <w:r>
        <w:rPr>
          <w:rFonts w:hint="eastAsia" w:ascii="仿宋" w:hAnsi="仿宋" w:eastAsia="仿宋" w:cs="仿宋"/>
          <w:color w:val="auto"/>
          <w:sz w:val="21"/>
          <w:szCs w:val="21"/>
          <w:highlight w:val="none"/>
          <w:lang w:val="en-US" w:eastAsia="zh-CN"/>
        </w:rPr>
        <w:t>审查的投标人</w:t>
      </w:r>
      <w:r>
        <w:rPr>
          <w:rFonts w:hint="eastAsia" w:ascii="仿宋" w:hAnsi="仿宋" w:eastAsia="仿宋" w:cs="仿宋"/>
          <w:color w:val="auto"/>
          <w:sz w:val="21"/>
          <w:szCs w:val="21"/>
          <w:highlight w:val="none"/>
        </w:rPr>
        <w:t>进行</w:t>
      </w:r>
      <w:r>
        <w:rPr>
          <w:rFonts w:hint="eastAsia" w:ascii="仿宋" w:hAnsi="仿宋" w:eastAsia="仿宋" w:cs="仿宋"/>
          <w:color w:val="auto"/>
          <w:sz w:val="21"/>
          <w:szCs w:val="21"/>
          <w:highlight w:val="none"/>
          <w:lang w:val="en-US" w:eastAsia="zh-CN"/>
        </w:rPr>
        <w:t>技术标</w:t>
      </w:r>
      <w:r>
        <w:rPr>
          <w:rFonts w:hint="eastAsia" w:ascii="仿宋" w:hAnsi="仿宋" w:eastAsia="仿宋" w:cs="仿宋"/>
          <w:color w:val="auto"/>
          <w:sz w:val="21"/>
          <w:szCs w:val="21"/>
          <w:highlight w:val="none"/>
        </w:rPr>
        <w:t>评审，评审结论采用合格制。对否定的技术标，评委要提出充足的否定理由，并填写评标记录。</w:t>
      </w:r>
      <w:r>
        <w:rPr>
          <w:rFonts w:hint="eastAsia" w:ascii="仿宋" w:hAnsi="仿宋" w:eastAsia="仿宋" w:cs="仿宋"/>
          <w:color w:val="auto"/>
          <w:sz w:val="21"/>
          <w:szCs w:val="21"/>
          <w:highlight w:val="none"/>
          <w:lang w:val="en-US" w:eastAsia="zh-CN"/>
        </w:rPr>
        <w:t>有</w:t>
      </w:r>
      <w:r>
        <w:rPr>
          <w:rFonts w:hint="eastAsia" w:ascii="仿宋" w:hAnsi="仿宋" w:eastAsia="仿宋" w:cs="仿宋"/>
          <w:color w:val="auto"/>
          <w:sz w:val="21"/>
          <w:szCs w:val="21"/>
          <w:highlight w:val="none"/>
        </w:rPr>
        <w:t>以下情形之一</w:t>
      </w:r>
      <w:r>
        <w:rPr>
          <w:rFonts w:hint="eastAsia" w:ascii="仿宋" w:hAnsi="仿宋" w:eastAsia="仿宋" w:cs="仿宋"/>
          <w:color w:val="auto"/>
          <w:sz w:val="21"/>
          <w:szCs w:val="21"/>
          <w:highlight w:val="none"/>
          <w:lang w:val="en-US" w:eastAsia="zh-CN"/>
        </w:rPr>
        <w:t>不满足招标文件</w:t>
      </w:r>
      <w:r>
        <w:rPr>
          <w:rFonts w:hint="eastAsia" w:ascii="仿宋" w:hAnsi="仿宋" w:eastAsia="仿宋" w:cs="仿宋"/>
          <w:color w:val="auto"/>
          <w:sz w:val="21"/>
          <w:szCs w:val="21"/>
          <w:highlight w:val="none"/>
        </w:rPr>
        <w:t>的，技术标审查不合格，投标文件为无效标：</w:t>
      </w:r>
    </w:p>
    <w:p w14:paraId="404E3A2A">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1.2.1</w:t>
      </w:r>
      <w:r>
        <w:rPr>
          <w:rFonts w:hint="eastAsia" w:ascii="仿宋" w:hAnsi="仿宋" w:eastAsia="仿宋" w:cs="仿宋"/>
          <w:color w:val="auto"/>
          <w:sz w:val="21"/>
          <w:szCs w:val="21"/>
          <w:highlight w:val="none"/>
        </w:rPr>
        <w:t>未按招标文件要求提交投标保证金的（若有）；</w:t>
      </w:r>
    </w:p>
    <w:p w14:paraId="1FF6063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1.2.2</w:t>
      </w:r>
      <w:r>
        <w:rPr>
          <w:rFonts w:hint="eastAsia" w:ascii="仿宋" w:hAnsi="仿宋" w:eastAsia="仿宋" w:cs="仿宋"/>
          <w:color w:val="auto"/>
          <w:sz w:val="21"/>
          <w:szCs w:val="21"/>
          <w:highlight w:val="none"/>
        </w:rPr>
        <w:t>未按投标文件格式要求提交投标承诺及工期质量承诺的（若有）；</w:t>
      </w:r>
    </w:p>
    <w:p w14:paraId="5CF8E53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1.2.3</w:t>
      </w:r>
      <w:r>
        <w:rPr>
          <w:rFonts w:hint="eastAsia" w:ascii="仿宋" w:hAnsi="仿宋" w:eastAsia="仿宋" w:cs="仿宋"/>
          <w:color w:val="auto"/>
          <w:sz w:val="21"/>
          <w:szCs w:val="21"/>
          <w:highlight w:val="none"/>
        </w:rPr>
        <w:t>投标文件未按要求进行签字盖章</w:t>
      </w:r>
      <w:r>
        <w:rPr>
          <w:rFonts w:hint="eastAsia" w:ascii="仿宋" w:hAnsi="仿宋" w:eastAsia="仿宋" w:cs="仿宋"/>
          <w:color w:val="auto"/>
          <w:sz w:val="21"/>
          <w:szCs w:val="21"/>
          <w:highlight w:val="none"/>
          <w:lang w:val="en-US" w:eastAsia="zh-CN"/>
        </w:rPr>
        <w:t>的</w:t>
      </w:r>
      <w:r>
        <w:rPr>
          <w:rFonts w:hint="eastAsia" w:ascii="仿宋" w:hAnsi="仿宋" w:eastAsia="仿宋" w:cs="仿宋"/>
          <w:color w:val="auto"/>
          <w:sz w:val="21"/>
          <w:szCs w:val="21"/>
          <w:highlight w:val="none"/>
        </w:rPr>
        <w:t>；</w:t>
      </w:r>
    </w:p>
    <w:p w14:paraId="3FF17AB2">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1.2.4</w:t>
      </w:r>
      <w:r>
        <w:rPr>
          <w:rFonts w:hint="eastAsia" w:ascii="仿宋" w:hAnsi="仿宋" w:eastAsia="仿宋" w:cs="仿宋"/>
          <w:color w:val="auto"/>
          <w:sz w:val="21"/>
          <w:szCs w:val="21"/>
          <w:highlight w:val="none"/>
        </w:rPr>
        <w:t>投标文件</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内容</w:t>
      </w:r>
      <w:r>
        <w:rPr>
          <w:rFonts w:hint="eastAsia" w:ascii="仿宋" w:hAnsi="仿宋" w:eastAsia="仿宋" w:cs="仿宋"/>
          <w:color w:val="auto"/>
          <w:sz w:val="21"/>
          <w:szCs w:val="21"/>
          <w:highlight w:val="none"/>
        </w:rPr>
        <w:t>格式缺失的</w:t>
      </w:r>
      <w:r>
        <w:rPr>
          <w:rFonts w:hint="eastAsia" w:ascii="仿宋" w:hAnsi="仿宋" w:eastAsia="仿宋" w:cs="仿宋"/>
          <w:color w:val="auto"/>
          <w:sz w:val="21"/>
          <w:szCs w:val="21"/>
          <w:highlight w:val="none"/>
          <w:lang w:eastAsia="zh-CN"/>
        </w:rPr>
        <w:t>（如澄清、补疑等）</w:t>
      </w:r>
      <w:r>
        <w:rPr>
          <w:rFonts w:hint="eastAsia" w:ascii="仿宋" w:hAnsi="仿宋" w:eastAsia="仿宋" w:cs="仿宋"/>
          <w:color w:val="auto"/>
          <w:sz w:val="21"/>
          <w:szCs w:val="21"/>
          <w:highlight w:val="none"/>
        </w:rPr>
        <w:t>；</w:t>
      </w:r>
    </w:p>
    <w:p w14:paraId="0F0317C6">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1.2.</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 xml:space="preserve"> </w:t>
      </w:r>
      <w:r>
        <w:rPr>
          <w:rFonts w:hint="eastAsia" w:ascii="仿宋" w:hAnsi="仿宋" w:eastAsia="仿宋" w:cs="仿宋"/>
          <w:color w:val="auto"/>
          <w:kern w:val="2"/>
          <w:sz w:val="21"/>
          <w:szCs w:val="21"/>
          <w:highlight w:val="none"/>
        </w:rPr>
        <w:t>未按招标文件要求提交授权委托书或代理商、经销商授权的（若有）；</w:t>
      </w:r>
    </w:p>
    <w:p w14:paraId="19B12A0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1.2.</w:t>
      </w: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val="en-US" w:eastAsia="zh-CN"/>
        </w:rPr>
        <w:t>供货</w:t>
      </w:r>
      <w:r>
        <w:rPr>
          <w:rFonts w:hint="eastAsia" w:ascii="仿宋" w:hAnsi="仿宋" w:eastAsia="仿宋" w:cs="仿宋"/>
          <w:color w:val="auto"/>
          <w:sz w:val="21"/>
          <w:szCs w:val="21"/>
          <w:highlight w:val="none"/>
        </w:rPr>
        <w:t>方案</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若有</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w:t>
      </w:r>
    </w:p>
    <w:p w14:paraId="282FB02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1.2.</w:t>
      </w:r>
      <w:r>
        <w:rPr>
          <w:rFonts w:hint="eastAsia" w:ascii="仿宋" w:hAnsi="仿宋" w:eastAsia="仿宋" w:cs="仿宋"/>
          <w:color w:val="auto"/>
          <w:sz w:val="21"/>
          <w:szCs w:val="21"/>
          <w:highlight w:val="none"/>
          <w:lang w:val="en-US" w:eastAsia="zh-CN"/>
        </w:rPr>
        <w:t>7其他内容</w:t>
      </w:r>
      <w:r>
        <w:rPr>
          <w:rFonts w:hint="eastAsia" w:ascii="仿宋" w:hAnsi="仿宋" w:eastAsia="仿宋" w:cs="仿宋"/>
          <w:color w:val="auto"/>
          <w:sz w:val="21"/>
          <w:szCs w:val="21"/>
          <w:highlight w:val="none"/>
        </w:rPr>
        <w:t>（如有）是否响应招标文件。</w:t>
      </w:r>
    </w:p>
    <w:p w14:paraId="1ED1380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1.2.8</w:t>
      </w:r>
      <w:r>
        <w:rPr>
          <w:rFonts w:hint="eastAsia" w:ascii="仿宋" w:hAnsi="仿宋" w:eastAsia="仿宋" w:cs="仿宋"/>
          <w:color w:val="auto"/>
          <w:sz w:val="21"/>
          <w:szCs w:val="21"/>
          <w:highlight w:val="none"/>
        </w:rPr>
        <w:t>投标人有以下情形之一的，经评标委员会评审后其技术标作无效判定：</w:t>
      </w:r>
    </w:p>
    <w:p w14:paraId="0AC07591">
      <w:pPr>
        <w:keepNext w:val="0"/>
        <w:keepLines w:val="0"/>
        <w:pageBreakBefore w:val="0"/>
        <w:widowControl w:val="0"/>
        <w:numPr>
          <w:ilvl w:val="0"/>
          <w:numId w:val="2"/>
        </w:numPr>
        <w:kinsoku/>
        <w:wordWrap/>
        <w:overflowPunct/>
        <w:topLinePunct w:val="0"/>
        <w:autoSpaceDE/>
        <w:autoSpaceDN/>
        <w:bidi w:val="0"/>
        <w:adjustRightInd/>
        <w:snapToGrid/>
        <w:spacing w:line="360" w:lineRule="exact"/>
        <w:ind w:left="6" w:leftChars="0" w:firstLine="420" w:firstLineChars="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技术标异常一致，或串通投标或弄虚作假等违法行为被查证属实的；</w:t>
      </w:r>
    </w:p>
    <w:p w14:paraId="7D02DCB1">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（2）技术标准、服务标准</w:t>
      </w:r>
      <w:r>
        <w:rPr>
          <w:rFonts w:hint="eastAsia" w:ascii="仿宋" w:hAnsi="仿宋" w:eastAsia="仿宋" w:cs="仿宋"/>
          <w:color w:val="auto"/>
          <w:sz w:val="21"/>
          <w:szCs w:val="21"/>
          <w:highlight w:val="none"/>
          <w:lang w:eastAsia="zh-CN"/>
        </w:rPr>
        <w:t>或其他</w:t>
      </w:r>
      <w:r>
        <w:rPr>
          <w:rFonts w:hint="eastAsia" w:ascii="仿宋" w:hAnsi="仿宋" w:eastAsia="仿宋" w:cs="仿宋"/>
          <w:color w:val="auto"/>
          <w:sz w:val="21"/>
          <w:szCs w:val="21"/>
          <w:highlight w:val="none"/>
        </w:rPr>
        <w:t>实质性内容不能满足招标文件强制性要求,或作出的承诺与招标文件中要求的相关条款实质性不相符的；</w:t>
      </w:r>
    </w:p>
    <w:p w14:paraId="0CFECE6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（3）未按招标文件规定的格式填写，且实质性内容不全或关键字迹模糊、无法辨认的；</w:t>
      </w:r>
    </w:p>
    <w:p w14:paraId="0AED003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（4）投标人不按照评委会要求或拒绝对投标文件进行澄清、说明、补正的；</w:t>
      </w:r>
    </w:p>
    <w:p w14:paraId="77C94CB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（5）投标文件中存在招标人不能接受的其它实质性条件；</w:t>
      </w:r>
    </w:p>
    <w:p w14:paraId="3D371578">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（6）招标文件要求必须响应的条款，但投标文件中对应的内容经评委会评审不通过的；</w:t>
      </w:r>
    </w:p>
    <w:p w14:paraId="4D544B3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（7）投标文件前后不一致，经评委会按照有利于招标人判定后不符合招标文件要求，或经投标人澄清后仍不满足招标文件要求的；</w:t>
      </w:r>
    </w:p>
    <w:p w14:paraId="191C2B84">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（8）</w:t>
      </w:r>
      <w:r>
        <w:rPr>
          <w:rFonts w:hint="eastAsia" w:ascii="仿宋" w:hAnsi="仿宋" w:eastAsia="仿宋" w:cs="仿宋"/>
          <w:color w:val="auto"/>
          <w:sz w:val="21"/>
          <w:szCs w:val="21"/>
          <w:highlight w:val="none"/>
          <w:lang w:eastAsia="zh-CN"/>
        </w:rPr>
        <w:t>法律、法规</w:t>
      </w:r>
      <w:r>
        <w:rPr>
          <w:rFonts w:hint="eastAsia" w:ascii="仿宋" w:hAnsi="仿宋" w:eastAsia="仿宋" w:cs="仿宋"/>
          <w:color w:val="auto"/>
          <w:sz w:val="21"/>
          <w:szCs w:val="21"/>
          <w:highlight w:val="none"/>
        </w:rPr>
        <w:t>规定的其它情形。</w:t>
      </w:r>
    </w:p>
    <w:p w14:paraId="070822EA">
      <w:pPr>
        <w:keepNext w:val="0"/>
        <w:keepLines w:val="0"/>
        <w:pageBreakBefore w:val="0"/>
        <w:widowControl w:val="0"/>
        <w:kinsoku/>
        <w:wordWrap/>
        <w:overflowPunct/>
        <w:topLinePunct w:val="0"/>
        <w:autoSpaceDE/>
        <w:autoSpaceDN/>
        <w:bidi w:val="0"/>
        <w:adjustRightInd/>
        <w:snapToGrid/>
        <w:spacing w:line="360" w:lineRule="exact"/>
        <w:ind w:firstLine="422" w:firstLineChars="200"/>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评审要求：</w:t>
      </w:r>
      <w:r>
        <w:rPr>
          <w:rFonts w:hint="eastAsia" w:ascii="仿宋" w:hAnsi="仿宋" w:eastAsia="仿宋" w:cs="仿宋"/>
          <w:color w:val="auto"/>
          <w:sz w:val="21"/>
          <w:szCs w:val="21"/>
          <w:highlight w:val="none"/>
        </w:rPr>
        <w:t>技术标评审时，应结合本项目特点及招标文件的要求对投标单位编制的技术标逐项评定，查看是否科学、合理、可行。如发现投标文件内容与招标文件要求必须响应的条款存在实质性偏差，或投标文件实质性内容前后不一致时，应要求投标人澄清、说明或补正，但不得超出投标文件的范围或者改变投标文件的实质性内容。</w:t>
      </w:r>
    </w:p>
    <w:p w14:paraId="6062E68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1.3商务标评审</w:t>
      </w:r>
    </w:p>
    <w:p w14:paraId="429F3D46">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1.3.1</w:t>
      </w:r>
      <w:r>
        <w:rPr>
          <w:rFonts w:hint="eastAsia" w:ascii="仿宋" w:hAnsi="仿宋" w:eastAsia="仿宋" w:cs="仿宋"/>
          <w:color w:val="auto"/>
          <w:sz w:val="21"/>
          <w:szCs w:val="21"/>
          <w:highlight w:val="none"/>
        </w:rPr>
        <w:t>商务标符合性评审</w:t>
      </w:r>
    </w:p>
    <w:p w14:paraId="338640D2">
      <w:pPr>
        <w:keepNext w:val="0"/>
        <w:keepLines w:val="0"/>
        <w:pageBreakBefore w:val="0"/>
        <w:widowControl w:val="0"/>
        <w:kinsoku/>
        <w:wordWrap/>
        <w:overflowPunct/>
        <w:topLinePunct w:val="0"/>
        <w:autoSpaceDE/>
        <w:autoSpaceDN/>
        <w:bidi w:val="0"/>
        <w:adjustRightInd/>
        <w:snapToGrid/>
        <w:spacing w:line="360" w:lineRule="exact"/>
        <w:ind w:firstLine="630" w:firstLineChars="3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商务标符合性评审是对投标人的商务标报价是否存在错误，包括但不限于投标文件存在的算术计算错误和修正结果、</w:t>
      </w:r>
      <w:r>
        <w:rPr>
          <w:rFonts w:hint="eastAsia" w:ascii="仿宋" w:hAnsi="仿宋" w:eastAsia="仿宋" w:cs="仿宋"/>
          <w:color w:val="auto"/>
          <w:sz w:val="21"/>
          <w:szCs w:val="21"/>
          <w:highlight w:val="none"/>
          <w:lang w:eastAsia="zh-CN"/>
        </w:rPr>
        <w:t>子</w:t>
      </w:r>
      <w:r>
        <w:rPr>
          <w:rFonts w:hint="eastAsia" w:ascii="仿宋" w:hAnsi="仿宋" w:eastAsia="仿宋" w:cs="仿宋"/>
          <w:color w:val="auto"/>
          <w:sz w:val="21"/>
          <w:szCs w:val="21"/>
          <w:highlight w:val="none"/>
        </w:rPr>
        <w:t>目漏项报价、清单数量有误，预留金、暂定（估）价、税金等不可竞争费以及报价规范性等进行综合分析评判等。</w:t>
      </w:r>
    </w:p>
    <w:p w14:paraId="11B97C7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对通过技术标符合性评审的投标人，按由低到高排序依次进行商务标符合性评审，直至选出预中标人和预中标候选人。</w:t>
      </w:r>
    </w:p>
    <w:p w14:paraId="6AC5B8B4">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评标委员会审查投标文件的商务报价，包括工程投标报价的校核、审查清单报价计算的正确性等内容，看其是否有计算或表达上的错误，投标报价有算术错误的，评标委员会按以下原则对投标报价进行修正。</w:t>
      </w:r>
    </w:p>
    <w:p w14:paraId="0B510174">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1.3.1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 xml:space="preserve">  细微偏差及其修正原则</w:t>
      </w:r>
    </w:p>
    <w:p w14:paraId="51FE827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若投标文件出现以下偏差，可视为细微偏差，投标人应按下述修正原则进行修正并由</w:t>
      </w:r>
      <w:r>
        <w:rPr>
          <w:rFonts w:hint="eastAsia" w:ascii="仿宋" w:hAnsi="仿宋" w:eastAsia="仿宋" w:cs="仿宋"/>
          <w:color w:val="auto"/>
          <w:sz w:val="21"/>
          <w:szCs w:val="21"/>
          <w:highlight w:val="none"/>
          <w:lang w:eastAsia="zh-CN"/>
        </w:rPr>
        <w:t>投标单位的法定代表人或</w:t>
      </w:r>
      <w:r>
        <w:rPr>
          <w:rFonts w:hint="eastAsia" w:ascii="仿宋" w:hAnsi="仿宋" w:eastAsia="仿宋" w:cs="仿宋"/>
          <w:color w:val="auto"/>
          <w:sz w:val="21"/>
          <w:szCs w:val="21"/>
          <w:highlight w:val="none"/>
        </w:rPr>
        <w:t>授权</w:t>
      </w:r>
      <w:r>
        <w:rPr>
          <w:rFonts w:hint="eastAsia" w:ascii="仿宋" w:hAnsi="仿宋" w:eastAsia="仿宋" w:cs="仿宋"/>
          <w:color w:val="auto"/>
          <w:sz w:val="21"/>
          <w:szCs w:val="21"/>
          <w:highlight w:val="none"/>
          <w:lang w:eastAsia="zh-CN"/>
        </w:rPr>
        <w:t>委托</w:t>
      </w:r>
      <w:r>
        <w:rPr>
          <w:rFonts w:hint="eastAsia" w:ascii="仿宋" w:hAnsi="仿宋" w:eastAsia="仿宋" w:cs="仿宋"/>
          <w:color w:val="auto"/>
          <w:sz w:val="21"/>
          <w:szCs w:val="21"/>
          <w:highlight w:val="none"/>
        </w:rPr>
        <w:t>人签字</w:t>
      </w:r>
      <w:r>
        <w:rPr>
          <w:rFonts w:hint="eastAsia" w:ascii="仿宋" w:hAnsi="仿宋" w:eastAsia="仿宋" w:cs="仿宋"/>
          <w:color w:val="auto"/>
          <w:sz w:val="21"/>
          <w:szCs w:val="21"/>
          <w:highlight w:val="none"/>
          <w:lang w:val="en-US" w:eastAsia="zh-CN"/>
        </w:rPr>
        <w:t>该单位章或</w:t>
      </w:r>
      <w:r>
        <w:rPr>
          <w:rFonts w:hint="eastAsia" w:ascii="仿宋" w:hAnsi="仿宋" w:eastAsia="仿宋" w:cs="仿宋"/>
          <w:color w:val="auto"/>
          <w:sz w:val="21"/>
          <w:szCs w:val="21"/>
          <w:highlight w:val="none"/>
        </w:rPr>
        <w:t>签字</w:t>
      </w:r>
      <w:r>
        <w:rPr>
          <w:rFonts w:hint="eastAsia" w:ascii="仿宋" w:hAnsi="仿宋" w:eastAsia="仿宋" w:cs="仿宋"/>
          <w:color w:val="auto"/>
          <w:sz w:val="21"/>
          <w:szCs w:val="21"/>
          <w:highlight w:val="none"/>
          <w:lang w:val="en-US" w:eastAsia="zh-CN"/>
        </w:rPr>
        <w:t>按指纹</w:t>
      </w:r>
      <w:r>
        <w:rPr>
          <w:rFonts w:hint="eastAsia" w:ascii="仿宋" w:hAnsi="仿宋" w:eastAsia="仿宋" w:cs="仿宋"/>
          <w:color w:val="auto"/>
          <w:sz w:val="21"/>
          <w:szCs w:val="21"/>
          <w:highlight w:val="none"/>
        </w:rPr>
        <w:t>确认，否则按照无效标判定</w:t>
      </w:r>
      <w:r>
        <w:rPr>
          <w:rFonts w:hint="eastAsia" w:ascii="仿宋" w:hAnsi="仿宋" w:eastAsia="仿宋" w:cs="仿宋"/>
          <w:color w:val="auto"/>
          <w:sz w:val="21"/>
          <w:szCs w:val="21"/>
          <w:highlight w:val="none"/>
          <w:lang w:eastAsia="zh-CN"/>
        </w:rPr>
        <w:t>。</w:t>
      </w:r>
    </w:p>
    <w:p w14:paraId="3EC31AB6">
      <w:pPr>
        <w:keepNext w:val="0"/>
        <w:keepLines w:val="0"/>
        <w:pageBreakBefore w:val="0"/>
        <w:widowControl w:val="0"/>
        <w:kinsoku/>
        <w:wordWrap/>
        <w:overflowPunct/>
        <w:topLinePunct w:val="0"/>
        <w:autoSpaceDE/>
        <w:autoSpaceDN/>
        <w:bidi w:val="0"/>
        <w:adjustRightInd/>
        <w:snapToGrid/>
        <w:spacing w:line="360" w:lineRule="exact"/>
        <w:ind w:firstLine="210" w:firstLineChars="1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（1）投标文件中填报的工程量清单中的</w:t>
      </w:r>
      <w:r>
        <w:rPr>
          <w:rFonts w:hint="eastAsia" w:ascii="仿宋" w:hAnsi="仿宋" w:eastAsia="仿宋" w:cs="仿宋"/>
          <w:color w:val="auto"/>
          <w:sz w:val="21"/>
          <w:szCs w:val="21"/>
          <w:highlight w:val="none"/>
          <w:lang w:eastAsia="zh-CN"/>
        </w:rPr>
        <w:t>子</w:t>
      </w:r>
      <w:r>
        <w:rPr>
          <w:rFonts w:hint="eastAsia" w:ascii="仿宋" w:hAnsi="仿宋" w:eastAsia="仿宋" w:cs="仿宋"/>
          <w:color w:val="auto"/>
          <w:sz w:val="21"/>
          <w:szCs w:val="21"/>
          <w:highlight w:val="none"/>
        </w:rPr>
        <w:t>目名称、计量单位与招标人或招标文件提供的工程量清单中非实质性内容不一致时，以招标人或招标文件提供的内容为准。</w:t>
      </w:r>
    </w:p>
    <w:p w14:paraId="2115B3E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（2）投标文件中填报的投标工期、工程质量标准等同一问题前后表述不一致时，以投标函填报的为准；投标函未明确的，以评</w:t>
      </w:r>
      <w:r>
        <w:rPr>
          <w:rFonts w:hint="eastAsia" w:ascii="仿宋" w:hAnsi="仿宋" w:eastAsia="仿宋" w:cs="仿宋"/>
          <w:color w:val="auto"/>
          <w:sz w:val="21"/>
          <w:szCs w:val="21"/>
          <w:highlight w:val="none"/>
          <w:lang w:eastAsia="zh-CN"/>
        </w:rPr>
        <w:t>标</w:t>
      </w:r>
      <w:r>
        <w:rPr>
          <w:rFonts w:hint="eastAsia" w:ascii="仿宋" w:hAnsi="仿宋" w:eastAsia="仿宋" w:cs="仿宋"/>
          <w:color w:val="auto"/>
          <w:sz w:val="21"/>
          <w:szCs w:val="21"/>
          <w:highlight w:val="none"/>
        </w:rPr>
        <w:t>委</w:t>
      </w:r>
      <w:r>
        <w:rPr>
          <w:rFonts w:hint="eastAsia" w:ascii="仿宋" w:hAnsi="仿宋" w:eastAsia="仿宋" w:cs="仿宋"/>
          <w:color w:val="auto"/>
          <w:sz w:val="21"/>
          <w:szCs w:val="21"/>
          <w:highlight w:val="none"/>
          <w:lang w:eastAsia="zh-CN"/>
        </w:rPr>
        <w:t>员</w:t>
      </w:r>
      <w:r>
        <w:rPr>
          <w:rFonts w:hint="eastAsia" w:ascii="仿宋" w:hAnsi="仿宋" w:eastAsia="仿宋" w:cs="仿宋"/>
          <w:color w:val="auto"/>
          <w:sz w:val="21"/>
          <w:szCs w:val="21"/>
          <w:highlight w:val="none"/>
        </w:rPr>
        <w:t>会作出的利于招标人的判定结果为准。若招标文件就同一问题规定前后不一致时，以评</w:t>
      </w:r>
      <w:r>
        <w:rPr>
          <w:rFonts w:hint="eastAsia" w:ascii="仿宋" w:hAnsi="仿宋" w:eastAsia="仿宋" w:cs="仿宋"/>
          <w:color w:val="auto"/>
          <w:sz w:val="21"/>
          <w:szCs w:val="21"/>
          <w:highlight w:val="none"/>
          <w:lang w:eastAsia="zh-CN"/>
        </w:rPr>
        <w:t>标</w:t>
      </w:r>
      <w:r>
        <w:rPr>
          <w:rFonts w:hint="eastAsia" w:ascii="仿宋" w:hAnsi="仿宋" w:eastAsia="仿宋" w:cs="仿宋"/>
          <w:color w:val="auto"/>
          <w:sz w:val="21"/>
          <w:szCs w:val="21"/>
          <w:highlight w:val="none"/>
        </w:rPr>
        <w:t>委</w:t>
      </w:r>
      <w:r>
        <w:rPr>
          <w:rFonts w:hint="eastAsia" w:ascii="仿宋" w:hAnsi="仿宋" w:eastAsia="仿宋" w:cs="仿宋"/>
          <w:color w:val="auto"/>
          <w:sz w:val="21"/>
          <w:szCs w:val="21"/>
          <w:highlight w:val="none"/>
          <w:lang w:eastAsia="zh-CN"/>
        </w:rPr>
        <w:t>员</w:t>
      </w:r>
      <w:r>
        <w:rPr>
          <w:rFonts w:hint="eastAsia" w:ascii="仿宋" w:hAnsi="仿宋" w:eastAsia="仿宋" w:cs="仿宋"/>
          <w:color w:val="auto"/>
          <w:sz w:val="21"/>
          <w:szCs w:val="21"/>
          <w:highlight w:val="none"/>
        </w:rPr>
        <w:t>会作出的利于投标人的判定结果为准。</w:t>
      </w:r>
    </w:p>
    <w:p w14:paraId="1948690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（3）投标人填报的材料和设备品牌（商标）、单位、规格型号、产地、技术参数</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标准</w:t>
      </w:r>
      <w:r>
        <w:rPr>
          <w:rFonts w:hint="eastAsia" w:ascii="仿宋" w:hAnsi="仿宋" w:eastAsia="仿宋" w:cs="仿宋"/>
          <w:color w:val="auto"/>
          <w:sz w:val="21"/>
          <w:szCs w:val="21"/>
          <w:highlight w:val="none"/>
          <w:lang w:eastAsia="zh-CN"/>
        </w:rPr>
        <w:t>）</w:t>
      </w:r>
    </w:p>
    <w:p w14:paraId="254E6BC6">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等与招标文件要求不一致的，以招标文件要求为准，但所报的单价不变。</w:t>
      </w:r>
    </w:p>
    <w:p w14:paraId="2A864E9A">
      <w:pPr>
        <w:keepNext w:val="0"/>
        <w:keepLines w:val="0"/>
        <w:pageBreakBefore w:val="0"/>
        <w:widowControl w:val="0"/>
        <w:numPr>
          <w:ilvl w:val="0"/>
          <w:numId w:val="3"/>
        </w:numPr>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投标报价修正：</w:t>
      </w:r>
    </w:p>
    <w:p w14:paraId="23569A9E">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投标报价有明显的文字错误或计算错误的内容，评标委员会可要求投标人在规定时间内进行澄清、说明或补正，但内容不得改变投标文件实质性内容，并构成投标文件组成部分。具体修正原则和方法如下：</w:t>
      </w:r>
    </w:p>
    <w:p w14:paraId="10D55ECA">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 xml:space="preserve">  a.投标报价无算术运算过程：若投标函大写金额与小写金额不一致的，或投标函金额与投标报价表（清单）不一致的，以投标函大写金额为准；</w:t>
      </w:r>
    </w:p>
    <w:p w14:paraId="19E87E99">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 xml:space="preserve">  b.投标报价有算术运算过程：从构成投标报价的最小单元开始进行修正，即按照</w:t>
      </w:r>
      <w:r>
        <w:rPr>
          <w:rFonts w:hint="eastAsia" w:ascii="仿宋" w:hAnsi="仿宋" w:eastAsia="仿宋" w:cs="仿宋"/>
          <w:color w:val="auto"/>
          <w:sz w:val="21"/>
          <w:szCs w:val="21"/>
          <w:highlight w:val="none"/>
          <w:lang w:val="en-US" w:eastAsia="zh-CN"/>
        </w:rPr>
        <w:t>含税</w:t>
      </w:r>
      <w:r>
        <w:rPr>
          <w:rFonts w:hint="eastAsia" w:ascii="仿宋" w:hAnsi="仿宋" w:eastAsia="仿宋" w:cs="仿宋"/>
          <w:color w:val="auto"/>
          <w:sz w:val="21"/>
          <w:szCs w:val="21"/>
          <w:highlight w:val="none"/>
        </w:rPr>
        <w:t>综合单价分析表、已标价的工程量清单表、工程量清单（或投标报价）汇总表、投标函投标报价等层级次序依次进行算术运算错误的修正。综合单价分析表的工料机组成与综合单价不一致的，以工料机组成为准修正单价，但工料机组成属小数点有明显错误的除外；已标价的工程量清单表的</w:t>
      </w:r>
      <w:r>
        <w:rPr>
          <w:rFonts w:hint="eastAsia" w:ascii="仿宋" w:hAnsi="仿宋" w:eastAsia="仿宋" w:cs="仿宋"/>
          <w:color w:val="auto"/>
          <w:sz w:val="21"/>
          <w:szCs w:val="21"/>
          <w:highlight w:val="none"/>
          <w:lang w:eastAsia="zh-CN"/>
        </w:rPr>
        <w:t>含税综合</w:t>
      </w:r>
      <w:r>
        <w:rPr>
          <w:rFonts w:hint="eastAsia" w:ascii="仿宋" w:hAnsi="仿宋" w:eastAsia="仿宋" w:cs="仿宋"/>
          <w:color w:val="auto"/>
          <w:sz w:val="21"/>
          <w:szCs w:val="21"/>
          <w:highlight w:val="none"/>
        </w:rPr>
        <w:t>单价和工程量的乘积与合价金额不一致的，以</w:t>
      </w:r>
      <w:r>
        <w:rPr>
          <w:rFonts w:hint="eastAsia" w:ascii="仿宋" w:hAnsi="仿宋" w:eastAsia="仿宋" w:cs="仿宋"/>
          <w:color w:val="auto"/>
          <w:sz w:val="21"/>
          <w:szCs w:val="21"/>
          <w:highlight w:val="none"/>
          <w:lang w:eastAsia="zh-CN"/>
        </w:rPr>
        <w:t>含税</w:t>
      </w:r>
      <w:r>
        <w:rPr>
          <w:rFonts w:hint="eastAsia" w:ascii="仿宋" w:hAnsi="仿宋" w:eastAsia="仿宋" w:cs="仿宋"/>
          <w:color w:val="auto"/>
          <w:sz w:val="21"/>
          <w:szCs w:val="21"/>
          <w:highlight w:val="none"/>
        </w:rPr>
        <w:t>单价为准修正合价金额，但</w:t>
      </w:r>
      <w:r>
        <w:rPr>
          <w:rFonts w:hint="eastAsia" w:ascii="仿宋" w:hAnsi="仿宋" w:eastAsia="仿宋" w:cs="仿宋"/>
          <w:color w:val="auto"/>
          <w:sz w:val="21"/>
          <w:szCs w:val="21"/>
          <w:highlight w:val="none"/>
          <w:lang w:eastAsia="zh-CN"/>
        </w:rPr>
        <w:t>含税</w:t>
      </w:r>
      <w:r>
        <w:rPr>
          <w:rFonts w:hint="eastAsia" w:ascii="仿宋" w:hAnsi="仿宋" w:eastAsia="仿宋" w:cs="仿宋"/>
          <w:color w:val="auto"/>
          <w:sz w:val="21"/>
          <w:szCs w:val="21"/>
          <w:highlight w:val="none"/>
        </w:rPr>
        <w:t>单价属小数点有明显错误的除外。</w:t>
      </w:r>
    </w:p>
    <w:p w14:paraId="52DC3D0A">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val="en-US" w:eastAsia="zh-CN"/>
        </w:rPr>
        <w:t>b1.</w:t>
      </w:r>
      <w:r>
        <w:rPr>
          <w:rFonts w:hint="eastAsia" w:ascii="仿宋" w:hAnsi="仿宋" w:eastAsia="仿宋" w:cs="仿宋"/>
          <w:color w:val="auto"/>
          <w:sz w:val="21"/>
          <w:szCs w:val="21"/>
          <w:highlight w:val="none"/>
        </w:rPr>
        <w:t>修正后的投标总价高于原投标函报价大写金额的，以原投标函报价大写金额作为</w:t>
      </w:r>
      <w:r>
        <w:rPr>
          <w:rFonts w:hint="eastAsia" w:ascii="仿宋" w:hAnsi="仿宋" w:eastAsia="仿宋" w:cs="仿宋"/>
          <w:color w:val="auto"/>
          <w:sz w:val="21"/>
          <w:szCs w:val="21"/>
          <w:highlight w:val="none"/>
          <w:lang w:val="en-US" w:eastAsia="zh-CN"/>
        </w:rPr>
        <w:t>最终投标价</w:t>
      </w:r>
      <w:r>
        <w:rPr>
          <w:rFonts w:hint="eastAsia" w:ascii="仿宋" w:hAnsi="仿宋" w:eastAsia="仿宋" w:cs="仿宋"/>
          <w:color w:val="auto"/>
          <w:sz w:val="21"/>
          <w:szCs w:val="21"/>
          <w:highlight w:val="none"/>
        </w:rPr>
        <w:t>，签订合同时以投标函大写金额为准，差额部分视同为投标人投标报价错误产生缺项漏记或隐含在其他报价之中，并要求投标人进行确认。投标人不确认的，评标委员会可视同为无效投标。同时，若修正的差额与投标函报价大写金额相比，不超过</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%且在 50万以内，投标人不确认的，招标人有权不予退还其投标保证金。</w:t>
      </w:r>
    </w:p>
    <w:p w14:paraId="18F846E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val="en-US" w:eastAsia="zh-CN"/>
        </w:rPr>
        <w:t>b2.</w:t>
      </w:r>
      <w:r>
        <w:rPr>
          <w:rFonts w:hint="eastAsia" w:ascii="仿宋" w:hAnsi="仿宋" w:eastAsia="仿宋" w:cs="仿宋"/>
          <w:color w:val="auto"/>
          <w:sz w:val="21"/>
          <w:szCs w:val="21"/>
          <w:highlight w:val="none"/>
        </w:rPr>
        <w:t>修正后的投标总价低于原投标函报价大写金额的，以修正后的投标总价作为</w:t>
      </w:r>
      <w:r>
        <w:rPr>
          <w:rFonts w:hint="eastAsia" w:ascii="仿宋" w:hAnsi="仿宋" w:eastAsia="仿宋" w:cs="仿宋"/>
          <w:color w:val="auto"/>
          <w:sz w:val="21"/>
          <w:szCs w:val="21"/>
          <w:highlight w:val="none"/>
          <w:lang w:val="en-US" w:eastAsia="zh-CN"/>
        </w:rPr>
        <w:t>最终投标</w:t>
      </w:r>
      <w:r>
        <w:rPr>
          <w:rFonts w:hint="eastAsia" w:ascii="仿宋" w:hAnsi="仿宋" w:eastAsia="仿宋" w:cs="仿宋"/>
          <w:color w:val="auto"/>
          <w:sz w:val="21"/>
          <w:szCs w:val="21"/>
          <w:highlight w:val="none"/>
        </w:rPr>
        <w:t>价，签订合同时以修正后的投标总价为准，差额部分视同为投标人投标报价错误产生缺项漏记或隐含在其他报价之中，并要求投标人进行确认。投标人不确认的，评标委员会可视同为无效投标。同时，若修正的差额与修正后的投标总价相比，不超过</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%且在 50万以内，投标人不确认的，招标人有权不予退还其投标保证金。</w:t>
      </w:r>
    </w:p>
    <w:p w14:paraId="3F0CB09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1.3.</w:t>
      </w:r>
      <w:r>
        <w:rPr>
          <w:rFonts w:hint="eastAsia" w:ascii="仿宋" w:hAnsi="仿宋" w:eastAsia="仿宋" w:cs="仿宋"/>
          <w:color w:val="auto"/>
          <w:sz w:val="21"/>
          <w:szCs w:val="21"/>
          <w:highlight w:val="none"/>
          <w:lang w:val="en-US" w:eastAsia="zh-CN"/>
        </w:rPr>
        <w:t>1.2</w:t>
      </w:r>
      <w:r>
        <w:rPr>
          <w:rFonts w:hint="eastAsia" w:ascii="仿宋" w:hAnsi="仿宋" w:eastAsia="仿宋" w:cs="仿宋"/>
          <w:color w:val="auto"/>
          <w:sz w:val="21"/>
          <w:szCs w:val="21"/>
          <w:highlight w:val="none"/>
        </w:rPr>
        <w:t xml:space="preserve">  重大偏差及处理办法</w:t>
      </w:r>
    </w:p>
    <w:p w14:paraId="3F0BE6CF">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投标文件有下列情形之一的，属于重大偏差，由评标委员会评审后按无效标处理：</w:t>
      </w:r>
    </w:p>
    <w:p w14:paraId="1762C680">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不同投标人的投标文件异常一致或者投标报价呈规律性差异等招投标相关法律法规明确规定为串通投标或弄虚作假或有其他违法行为的；</w:t>
      </w:r>
    </w:p>
    <w:p w14:paraId="2784D9E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工程量清单出现</w:t>
      </w:r>
      <w:r>
        <w:rPr>
          <w:rFonts w:hint="eastAsia" w:ascii="仿宋" w:hAnsi="仿宋" w:eastAsia="仿宋" w:cs="仿宋"/>
          <w:color w:val="auto"/>
          <w:sz w:val="21"/>
          <w:szCs w:val="21"/>
          <w:highlight w:val="none"/>
          <w:lang w:eastAsia="zh-CN"/>
        </w:rPr>
        <w:t>子</w:t>
      </w:r>
      <w:r>
        <w:rPr>
          <w:rFonts w:hint="eastAsia" w:ascii="仿宋" w:hAnsi="仿宋" w:eastAsia="仿宋" w:cs="仿宋"/>
          <w:color w:val="auto"/>
          <w:sz w:val="21"/>
          <w:szCs w:val="21"/>
          <w:highlight w:val="none"/>
        </w:rPr>
        <w:t>目漏项报价，或工程数量、预留金、暂定（估）价、计日工、税金等不可竞争费与招标文件不一致，且招标人不同意在总价不</w:t>
      </w:r>
      <w:r>
        <w:rPr>
          <w:rFonts w:hint="eastAsia" w:ascii="仿宋" w:hAnsi="仿宋" w:eastAsia="仿宋" w:cs="仿宋"/>
          <w:color w:val="auto"/>
          <w:sz w:val="21"/>
          <w:szCs w:val="21"/>
          <w:highlight w:val="none"/>
          <w:lang w:eastAsia="zh-CN"/>
        </w:rPr>
        <w:t>变</w:t>
      </w:r>
      <w:r>
        <w:rPr>
          <w:rFonts w:hint="eastAsia" w:ascii="仿宋" w:hAnsi="仿宋" w:eastAsia="仿宋" w:cs="仿宋"/>
          <w:color w:val="auto"/>
          <w:sz w:val="21"/>
          <w:szCs w:val="21"/>
          <w:highlight w:val="none"/>
        </w:rPr>
        <w:t>基础上按照评标委员会要求进行修正的；</w:t>
      </w:r>
    </w:p>
    <w:p w14:paraId="327FB9D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未按招标文件格式在规定部位盖章或签章或签字的；未按规定的格式填写，且实质性内容不全或关键字迹模糊、无法辨认的；</w:t>
      </w:r>
    </w:p>
    <w:p w14:paraId="5E30E41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投标人递交两份或多份内容不同的投标文件，或在一份投标文件中对同一招标项目报有两个或多个报价，且未声明哪一个有效的。按招标文件规定提交备选投标方案、投标文件汇总与投标函不一致的除外；</w:t>
      </w:r>
    </w:p>
    <w:p w14:paraId="73CC8EA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 xml:space="preserve"> 投标文件中存在超出招标文件规定</w:t>
      </w:r>
      <w:r>
        <w:rPr>
          <w:rFonts w:hint="eastAsia" w:ascii="仿宋" w:hAnsi="仿宋" w:eastAsia="仿宋" w:cs="仿宋"/>
          <w:color w:val="auto"/>
          <w:sz w:val="21"/>
          <w:szCs w:val="21"/>
          <w:highlight w:val="none"/>
          <w:lang w:eastAsia="zh-CN"/>
        </w:rPr>
        <w:t>的其他</w:t>
      </w:r>
      <w:r>
        <w:rPr>
          <w:rFonts w:hint="eastAsia" w:ascii="仿宋" w:hAnsi="仿宋" w:eastAsia="仿宋" w:cs="仿宋"/>
          <w:color w:val="auto"/>
          <w:sz w:val="21"/>
          <w:szCs w:val="21"/>
          <w:highlight w:val="none"/>
        </w:rPr>
        <w:t xml:space="preserve">实质性条件或提供虚假资料被查证属实的； </w:t>
      </w:r>
    </w:p>
    <w:p w14:paraId="50E6DF55">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未提供报价文件电子版或电子版文件不符合规定格式的（若招标文件有明确规定）；</w:t>
      </w:r>
    </w:p>
    <w:p w14:paraId="15DA128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投标人拒不按照评标委员要求或拒绝或不按时对投标文件进行澄清、说明、补正的，或评标委员根据招标文件的规定对投标文件的计算错误进行修正后，投标人不接受修正后的投标报价的；</w:t>
      </w:r>
    </w:p>
    <w:p w14:paraId="64C7ABDE">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    </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投标人商务标中不应出现负值，却有负值出现的；</w:t>
      </w:r>
    </w:p>
    <w:p w14:paraId="19A7CFE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9）项目评审或多标段项目标段评审中，多名投标人投标报价规律性集中出现在高价区域，明显与近期类似项目报价情况不一致，以致影响正常评审计算的，评委会应确定项目投标报价明显缺乏竞争性，宣布流标</w:t>
      </w:r>
      <w:r>
        <w:rPr>
          <w:rFonts w:hint="eastAsia" w:ascii="仿宋" w:hAnsi="仿宋" w:eastAsia="仿宋" w:cs="仿宋"/>
          <w:color w:val="auto"/>
          <w:sz w:val="21"/>
          <w:szCs w:val="21"/>
          <w:highlight w:val="none"/>
          <w:lang w:eastAsia="zh-CN"/>
        </w:rPr>
        <w:t>。</w:t>
      </w:r>
    </w:p>
    <w:p w14:paraId="51788A3E">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（10）法律、法规规定的其它情形。</w:t>
      </w:r>
    </w:p>
    <w:p w14:paraId="72E558F7">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3.2</w:t>
      </w:r>
      <w:r>
        <w:rPr>
          <w:rFonts w:hint="eastAsia" w:ascii="仿宋" w:hAnsi="仿宋" w:eastAsia="仿宋" w:cs="仿宋"/>
          <w:color w:val="auto"/>
          <w:sz w:val="21"/>
          <w:szCs w:val="21"/>
          <w:highlight w:val="none"/>
        </w:rPr>
        <w:t>商务标详细评审</w:t>
      </w:r>
    </w:p>
    <w:p w14:paraId="1E45AE60">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商务标详细评审是对通过商务标符合性评审的投标单位商务标报价，应对其具体组成进行详细分析，判断有无存在恶意不平衡报价、重点子目报价降幅相对投标人总体降幅情况是否有过大偏离。对存在恶意不平衡报价、偏离超过招标文件规定值的，商务标可判定为无效。具体内容可以包括清单平均综合单价评审以及恶意不平衡报价评审等。</w:t>
      </w:r>
    </w:p>
    <w:p w14:paraId="090FE76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rPr>
        <w:t>不平衡报价评审</w:t>
      </w:r>
    </w:p>
    <w:p w14:paraId="403BD325">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对于投标报价中的综合单价与控制价单价相比，明显存在降幅过高或过低的情况，评</w:t>
      </w:r>
      <w:r>
        <w:rPr>
          <w:rFonts w:hint="eastAsia" w:ascii="仿宋" w:hAnsi="仿宋" w:eastAsia="仿宋" w:cs="仿宋"/>
          <w:color w:val="auto"/>
          <w:sz w:val="21"/>
          <w:szCs w:val="21"/>
          <w:highlight w:val="none"/>
          <w:lang w:eastAsia="zh-CN"/>
        </w:rPr>
        <w:t>标</w:t>
      </w:r>
      <w:r>
        <w:rPr>
          <w:rFonts w:hint="eastAsia" w:ascii="仿宋" w:hAnsi="仿宋" w:eastAsia="仿宋" w:cs="仿宋"/>
          <w:color w:val="auto"/>
          <w:sz w:val="21"/>
          <w:szCs w:val="21"/>
          <w:highlight w:val="none"/>
        </w:rPr>
        <w:t>委</w:t>
      </w:r>
      <w:r>
        <w:rPr>
          <w:rFonts w:hint="eastAsia" w:ascii="仿宋" w:hAnsi="仿宋" w:eastAsia="仿宋" w:cs="仿宋"/>
          <w:color w:val="auto"/>
          <w:sz w:val="21"/>
          <w:szCs w:val="21"/>
          <w:highlight w:val="none"/>
          <w:lang w:eastAsia="zh-CN"/>
        </w:rPr>
        <w:t>员</w:t>
      </w:r>
      <w:r>
        <w:rPr>
          <w:rFonts w:hint="eastAsia" w:ascii="仿宋" w:hAnsi="仿宋" w:eastAsia="仿宋" w:cs="仿宋"/>
          <w:color w:val="auto"/>
          <w:sz w:val="21"/>
          <w:szCs w:val="21"/>
          <w:highlight w:val="none"/>
        </w:rPr>
        <w:t>会重点评审后可将其作为恶意不平衡报价进行评审。投标人应根据评</w:t>
      </w:r>
      <w:r>
        <w:rPr>
          <w:rFonts w:hint="eastAsia" w:ascii="仿宋" w:hAnsi="仿宋" w:eastAsia="仿宋" w:cs="仿宋"/>
          <w:color w:val="auto"/>
          <w:sz w:val="21"/>
          <w:szCs w:val="21"/>
          <w:highlight w:val="none"/>
          <w:lang w:eastAsia="zh-CN"/>
        </w:rPr>
        <w:t>标</w:t>
      </w:r>
      <w:r>
        <w:rPr>
          <w:rFonts w:hint="eastAsia" w:ascii="仿宋" w:hAnsi="仿宋" w:eastAsia="仿宋" w:cs="仿宋"/>
          <w:color w:val="auto"/>
          <w:sz w:val="21"/>
          <w:szCs w:val="21"/>
          <w:highlight w:val="none"/>
        </w:rPr>
        <w:t>委</w:t>
      </w:r>
      <w:r>
        <w:rPr>
          <w:rFonts w:hint="eastAsia" w:ascii="仿宋" w:hAnsi="仿宋" w:eastAsia="仿宋" w:cs="仿宋"/>
          <w:color w:val="auto"/>
          <w:sz w:val="21"/>
          <w:szCs w:val="21"/>
          <w:highlight w:val="none"/>
          <w:lang w:eastAsia="zh-CN"/>
        </w:rPr>
        <w:t>员</w:t>
      </w:r>
      <w:r>
        <w:rPr>
          <w:rFonts w:hint="eastAsia" w:ascii="仿宋" w:hAnsi="仿宋" w:eastAsia="仿宋" w:cs="仿宋"/>
          <w:color w:val="auto"/>
          <w:sz w:val="21"/>
          <w:szCs w:val="21"/>
          <w:highlight w:val="none"/>
        </w:rPr>
        <w:t>会评审意见，在总价不变基础上修正其综合单价，否则其商务标作无效标处理。</w:t>
      </w:r>
    </w:p>
    <w:p w14:paraId="365321DB">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 xml:space="preserve"> 重点子目单价评审（如有）</w:t>
      </w:r>
    </w:p>
    <w:p w14:paraId="609171A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对于招标文件工程量清单已标注为重点子目评审的投标综合单价，若高于已公布的子目控制价或超过招标文件规定的有效偏差范围，评</w:t>
      </w:r>
      <w:r>
        <w:rPr>
          <w:rFonts w:hint="eastAsia" w:ascii="仿宋" w:hAnsi="仿宋" w:eastAsia="仿宋" w:cs="仿宋"/>
          <w:color w:val="auto"/>
          <w:sz w:val="21"/>
          <w:szCs w:val="21"/>
          <w:highlight w:val="none"/>
          <w:lang w:eastAsia="zh-CN"/>
        </w:rPr>
        <w:t>标</w:t>
      </w:r>
      <w:r>
        <w:rPr>
          <w:rFonts w:hint="eastAsia" w:ascii="仿宋" w:hAnsi="仿宋" w:eastAsia="仿宋" w:cs="仿宋"/>
          <w:color w:val="auto"/>
          <w:sz w:val="21"/>
          <w:szCs w:val="21"/>
          <w:highlight w:val="none"/>
        </w:rPr>
        <w:t>委</w:t>
      </w:r>
      <w:r>
        <w:rPr>
          <w:rFonts w:hint="eastAsia" w:ascii="仿宋" w:hAnsi="仿宋" w:eastAsia="仿宋" w:cs="仿宋"/>
          <w:color w:val="auto"/>
          <w:sz w:val="21"/>
          <w:szCs w:val="21"/>
          <w:highlight w:val="none"/>
          <w:lang w:eastAsia="zh-CN"/>
        </w:rPr>
        <w:t>员</w:t>
      </w:r>
      <w:r>
        <w:rPr>
          <w:rFonts w:hint="eastAsia" w:ascii="仿宋" w:hAnsi="仿宋" w:eastAsia="仿宋" w:cs="仿宋"/>
          <w:color w:val="auto"/>
          <w:sz w:val="21"/>
          <w:szCs w:val="21"/>
          <w:highlight w:val="none"/>
        </w:rPr>
        <w:t>会重点评审后可将其作为无效标处理。</w:t>
      </w:r>
    </w:p>
    <w:p w14:paraId="6F2EFC82">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有效偏差范围是以不高于子目控制价，且与所有通过商务标符合性评审的投标人平均综合单价偏差率不超过10%（含）。</w:t>
      </w:r>
    </w:p>
    <w:p w14:paraId="613932E6">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2. 投标文件的澄清和补正</w:t>
      </w:r>
    </w:p>
    <w:p w14:paraId="32EB5E26">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2.1  在评标过程中，评标委员会可以要求投标人对所提交的投标文件中不明确的内容进行澄清或说明，或者对细微偏差进行补正。评标委员会不接受投标人主动提出的澄清、说明或补正。</w:t>
      </w:r>
    </w:p>
    <w:p w14:paraId="1E5B323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 投标人必须在评标委员会规定合理时间内将澄清、说明或补正内容提交评标委员会，评标委员会将对澄清、说明或补正内容评审后决定是否符合要求并现场告知。澄清时间自评标委员会要求时间起最多不超过30分钟（具体时间可根据需要澄清内容的难易程度，由评标委员会确定并在询标记录中明示）。在规定时间内未按评标委员会要求进行澄清、说明或补正内容的视同投标人放弃澄清、说明或补正内容权利，评标委员会可按对招标人有利的解释去进行判定，或宣布其投标无效。</w:t>
      </w:r>
    </w:p>
    <w:p w14:paraId="5BE0BC2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2.3 澄清、说明和补正不得改变投标文件的实质性内容（算术性错误修正的除外），投标人的澄清、说明和补正属于投标文件的组成部分，所有内容</w:t>
      </w:r>
      <w:r>
        <w:rPr>
          <w:rFonts w:hint="eastAsia" w:ascii="仿宋" w:hAnsi="仿宋" w:eastAsia="仿宋" w:cs="仿宋"/>
          <w:color w:val="auto"/>
          <w:sz w:val="21"/>
          <w:szCs w:val="21"/>
          <w:highlight w:val="none"/>
          <w:lang w:eastAsia="zh-CN"/>
        </w:rPr>
        <w:t>须</w:t>
      </w:r>
      <w:r>
        <w:rPr>
          <w:rFonts w:hint="eastAsia" w:ascii="仿宋" w:hAnsi="仿宋" w:eastAsia="仿宋" w:cs="仿宋"/>
          <w:color w:val="auto"/>
          <w:sz w:val="21"/>
          <w:szCs w:val="21"/>
          <w:highlight w:val="none"/>
        </w:rPr>
        <w:t>经法定代表人或其授权人签字</w:t>
      </w:r>
      <w:r>
        <w:rPr>
          <w:rFonts w:hint="eastAsia" w:ascii="仿宋" w:hAnsi="仿宋" w:eastAsia="仿宋" w:cs="仿宋"/>
          <w:color w:val="auto"/>
          <w:sz w:val="21"/>
          <w:szCs w:val="21"/>
          <w:highlight w:val="none"/>
          <w:lang w:val="en-US" w:eastAsia="zh-CN"/>
        </w:rPr>
        <w:t>盖公章或签字按指纹</w:t>
      </w:r>
      <w:r>
        <w:rPr>
          <w:rFonts w:hint="eastAsia" w:ascii="仿宋" w:hAnsi="仿宋" w:eastAsia="仿宋" w:cs="仿宋"/>
          <w:color w:val="auto"/>
          <w:sz w:val="21"/>
          <w:szCs w:val="21"/>
          <w:highlight w:val="none"/>
        </w:rPr>
        <w:t>。</w:t>
      </w:r>
    </w:p>
    <w:p w14:paraId="3E660515">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2.4 评标委员会对投标人提交的澄清、说明或补正有疑问的，可以要求投标人进一步澄清、说明或补正，直至满足评标委员会的要求。</w:t>
      </w:r>
    </w:p>
    <w:p w14:paraId="1EE44F30">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3. 评标结果</w:t>
      </w:r>
    </w:p>
    <w:p w14:paraId="501515F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 评标委员会按照经评审合格的价格由低到高的顺序推荐中标候选人。</w:t>
      </w:r>
    </w:p>
    <w:p w14:paraId="05453FDC">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3.2 评标委员会完成评标后，应当向招标人提交评标报告。评标报告应当如实记载以下内容：</w:t>
      </w:r>
    </w:p>
    <w:p w14:paraId="2634865D">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基本情况和数据表。</w:t>
      </w:r>
    </w:p>
    <w:p w14:paraId="0A09B11A">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评标委员会成员名单。</w:t>
      </w:r>
    </w:p>
    <w:p w14:paraId="3DF54248">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3</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开标记录。</w:t>
      </w:r>
    </w:p>
    <w:p w14:paraId="4D390FCD">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符合要求的投标人一览表。</w:t>
      </w:r>
    </w:p>
    <w:p w14:paraId="113AF1F5">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5</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无效标或废标情况说明。</w:t>
      </w:r>
    </w:p>
    <w:p w14:paraId="10641243">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6</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经评审的投标人排序。</w:t>
      </w:r>
    </w:p>
    <w:p w14:paraId="09E0E491">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7</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推荐的中标候选人名单与签订合同前要处理的事宜。</w:t>
      </w:r>
    </w:p>
    <w:p w14:paraId="3F105EFF">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8</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澄清、说明、补正事项纪要。</w:t>
      </w:r>
    </w:p>
    <w:p w14:paraId="4DC34AA7">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 评标委员会推荐的中标候选人应当限定在1-3名（具体以招标文件规定为准），并标明排列顺序。</w:t>
      </w:r>
    </w:p>
    <w:p w14:paraId="16A0E06A">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3.4 招标部门根据评标委员会推荐顺序</w:t>
      </w:r>
      <w:r>
        <w:rPr>
          <w:rFonts w:hint="eastAsia" w:ascii="仿宋" w:hAnsi="仿宋" w:eastAsia="仿宋" w:cs="仿宋"/>
          <w:color w:val="auto"/>
          <w:sz w:val="21"/>
          <w:szCs w:val="21"/>
          <w:highlight w:val="none"/>
          <w:lang w:eastAsia="zh-CN"/>
        </w:rPr>
        <w:t>对</w:t>
      </w:r>
      <w:r>
        <w:rPr>
          <w:rFonts w:hint="eastAsia" w:ascii="仿宋" w:hAnsi="仿宋" w:eastAsia="仿宋" w:cs="仿宋"/>
          <w:color w:val="auto"/>
          <w:sz w:val="21"/>
          <w:szCs w:val="21"/>
          <w:highlight w:val="none"/>
        </w:rPr>
        <w:t>预中标人、预中标候选人进行公示。公示无异议后，排名第一的中标候选人为中标人，并与招标人签订合同。排名第一的中标候选人放弃中标、因不可抗力提出不能履行合同，或者招标文件规定应当提交履约保证金而在规定的期限内未能提交的，招标人可重新招标或有条件地确定排名第二的中标候选人为中标人。以此类推。</w:t>
      </w:r>
    </w:p>
    <w:p w14:paraId="67B36593">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3.5 招标人在中标公示期间可对中标候选人进行考察，认为其不能履约或不具备承接项目能力的，可向招标部门书面提出申请并附有效证明材料。</w:t>
      </w:r>
    </w:p>
    <w:p w14:paraId="0F006765">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4 其他</w:t>
      </w:r>
    </w:p>
    <w:p w14:paraId="7DCB0BA2">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投标人提供的与投标有关的各类证书、证明、文件、资料等的真实性、合法性由投标人负全责。如发现投标人有弄虚作假或提供不实信息的行为，无论在投标有效期内还是在工程实施过程中，一经发现，将被取消其中标资格或终止合同，视为企业不诚信行为。招标部门将按相关规定予以处罚并按照规定将其纳入“黑名单”管理，予以披露。</w:t>
      </w:r>
    </w:p>
    <w:p w14:paraId="35AE14FD">
      <w:pPr>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 xml:space="preserve"> 在授予合同之前任何时候</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招标人有权中止或取消招标，对受影响的投标人不承担任何责任，也无义务</w:t>
      </w:r>
      <w:r>
        <w:rPr>
          <w:rFonts w:hint="eastAsia" w:ascii="仿宋" w:hAnsi="仿宋" w:eastAsia="仿宋" w:cs="仿宋"/>
          <w:color w:val="auto"/>
          <w:sz w:val="21"/>
          <w:szCs w:val="21"/>
          <w:highlight w:val="none"/>
          <w:lang w:val="en-US" w:eastAsia="zh-CN"/>
        </w:rPr>
        <w:t>作任何解释</w:t>
      </w:r>
      <w:r>
        <w:rPr>
          <w:rFonts w:hint="eastAsia" w:ascii="仿宋" w:hAnsi="仿宋" w:eastAsia="仿宋" w:cs="仿宋"/>
          <w:color w:val="auto"/>
          <w:sz w:val="21"/>
          <w:szCs w:val="21"/>
          <w:highlight w:val="none"/>
        </w:rPr>
        <w:t>。</w:t>
      </w:r>
    </w:p>
    <w:p w14:paraId="7D5092C5">
      <w:pPr>
        <w:pStyle w:val="2"/>
        <w:keepLines w:val="0"/>
        <w:widowControl/>
        <w:spacing w:before="0" w:after="0" w:line="240" w:lineRule="auto"/>
        <w:jc w:val="center"/>
        <w:rPr>
          <w:rFonts w:hint="eastAsia" w:ascii="仿宋" w:hAnsi="仿宋" w:eastAsia="仿宋" w:cs="仿宋"/>
          <w:color w:val="auto"/>
          <w:highlight w:val="none"/>
        </w:rPr>
      </w:pPr>
      <w:bookmarkStart w:id="108" w:name="_Toc246996252"/>
      <w:bookmarkStart w:id="109" w:name="_Toc481760115"/>
      <w:bookmarkStart w:id="110" w:name="_Toc246996995"/>
      <w:bookmarkStart w:id="111" w:name="_Toc152042387"/>
      <w:bookmarkStart w:id="112" w:name="_Toc144974577"/>
      <w:bookmarkStart w:id="113" w:name="_Toc179632627"/>
      <w:bookmarkStart w:id="114" w:name="_Toc247085767"/>
      <w:bookmarkStart w:id="115" w:name="_Toc152045609"/>
      <w:r>
        <w:rPr>
          <w:rFonts w:hint="eastAsia" w:ascii="仿宋" w:hAnsi="仿宋" w:eastAsia="仿宋" w:cs="仿宋"/>
          <w:color w:val="auto"/>
          <w:highlight w:val="none"/>
        </w:rPr>
        <w:br w:type="page"/>
      </w:r>
    </w:p>
    <w:p w14:paraId="776BFABF">
      <w:pPr>
        <w:pStyle w:val="2"/>
        <w:keepLines w:val="0"/>
        <w:widowControl/>
        <w:spacing w:before="0" w:after="0" w:line="240" w:lineRule="auto"/>
        <w:jc w:val="center"/>
        <w:rPr>
          <w:rFonts w:hint="eastAsia" w:ascii="仿宋" w:hAnsi="仿宋" w:eastAsia="仿宋" w:cs="仿宋"/>
          <w:color w:val="auto"/>
          <w:highlight w:val="none"/>
        </w:rPr>
      </w:pPr>
    </w:p>
    <w:p w14:paraId="3E893B5F">
      <w:pPr>
        <w:pStyle w:val="2"/>
        <w:keepLines w:val="0"/>
        <w:widowControl/>
        <w:spacing w:before="0" w:after="0" w:line="240" w:lineRule="auto"/>
        <w:jc w:val="center"/>
        <w:rPr>
          <w:rFonts w:hint="eastAsia" w:ascii="仿宋" w:hAnsi="仿宋" w:eastAsia="仿宋" w:cs="仿宋"/>
          <w:color w:val="auto"/>
          <w:highlight w:val="none"/>
        </w:rPr>
      </w:pPr>
    </w:p>
    <w:p w14:paraId="117D3550">
      <w:pPr>
        <w:pStyle w:val="2"/>
        <w:keepLines w:val="0"/>
        <w:widowControl/>
        <w:spacing w:before="0" w:after="0" w:line="240" w:lineRule="auto"/>
        <w:jc w:val="center"/>
        <w:rPr>
          <w:rFonts w:hint="eastAsia" w:ascii="仿宋" w:hAnsi="仿宋" w:eastAsia="仿宋" w:cs="仿宋"/>
          <w:color w:val="auto"/>
          <w:highlight w:val="none"/>
        </w:rPr>
      </w:pPr>
    </w:p>
    <w:p w14:paraId="1AD68FDF">
      <w:pPr>
        <w:pStyle w:val="2"/>
        <w:keepLines w:val="0"/>
        <w:widowControl/>
        <w:spacing w:before="0" w:after="0" w:line="240" w:lineRule="auto"/>
        <w:jc w:val="center"/>
        <w:rPr>
          <w:rFonts w:hint="eastAsia" w:ascii="Times New Roman" w:hAnsi="Times New Roman" w:eastAsia="宋体" w:cs="Times New Roman"/>
          <w:b/>
          <w:bCs/>
          <w:color w:val="auto"/>
          <w:kern w:val="44"/>
          <w:sz w:val="32"/>
          <w:szCs w:val="32"/>
          <w:lang w:val="en-US" w:eastAsia="zh-CN" w:bidi="ar-SA"/>
        </w:rPr>
      </w:pPr>
      <w:bookmarkStart w:id="116" w:name="_Toc17936"/>
      <w:r>
        <w:rPr>
          <w:rFonts w:hint="eastAsia" w:ascii="Times New Roman" w:hAnsi="Times New Roman" w:eastAsia="宋体" w:cs="Times New Roman"/>
          <w:b/>
          <w:bCs/>
          <w:color w:val="auto"/>
          <w:kern w:val="44"/>
          <w:sz w:val="32"/>
          <w:szCs w:val="32"/>
          <w:lang w:val="en-US" w:eastAsia="zh-CN" w:bidi="ar-SA"/>
        </w:rPr>
        <w:t>第四章 合同主要条款及格式</w:t>
      </w:r>
      <w:bookmarkEnd w:id="108"/>
      <w:bookmarkEnd w:id="109"/>
      <w:bookmarkEnd w:id="110"/>
      <w:bookmarkEnd w:id="111"/>
      <w:bookmarkEnd w:id="112"/>
      <w:bookmarkEnd w:id="113"/>
      <w:bookmarkEnd w:id="114"/>
      <w:bookmarkEnd w:id="115"/>
      <w:bookmarkEnd w:id="116"/>
      <w:bookmarkStart w:id="117" w:name="_Toc144974834"/>
      <w:bookmarkStart w:id="118" w:name="_Toc246996340"/>
      <w:bookmarkStart w:id="119" w:name="_Toc179632789"/>
      <w:bookmarkStart w:id="120" w:name="_Toc152045772"/>
      <w:bookmarkStart w:id="121" w:name="_Toc152042554"/>
      <w:bookmarkStart w:id="122" w:name="_Toc246997083"/>
      <w:bookmarkStart w:id="123" w:name="_Toc247085855"/>
    </w:p>
    <w:p w14:paraId="1113B7EF">
      <w:pPr>
        <w:jc w:val="center"/>
        <w:rPr>
          <w:rFonts w:hint="eastAsia" w:ascii="仿宋" w:hAnsi="仿宋" w:eastAsia="仿宋" w:cs="仿宋"/>
          <w:b/>
          <w:color w:val="auto"/>
          <w:sz w:val="30"/>
          <w:szCs w:val="30"/>
          <w:highlight w:val="none"/>
          <w:lang w:val="en-US" w:eastAsia="zh-CN"/>
        </w:rPr>
      </w:pPr>
      <w:bookmarkStart w:id="124" w:name="_Toc481760116"/>
    </w:p>
    <w:p w14:paraId="202C584B">
      <w:pPr>
        <w:jc w:val="center"/>
        <w:rPr>
          <w:rFonts w:hint="eastAsia" w:ascii="仿宋" w:hAnsi="仿宋" w:eastAsia="仿宋" w:cs="仿宋"/>
          <w:b/>
          <w:color w:val="auto"/>
          <w:sz w:val="30"/>
          <w:szCs w:val="30"/>
          <w:highlight w:val="none"/>
          <w:lang w:val="en-US" w:eastAsia="zh-CN"/>
        </w:rPr>
      </w:pPr>
    </w:p>
    <w:p w14:paraId="34E843E7">
      <w:pPr>
        <w:ind w:firstLine="1669" w:firstLineChars="795"/>
        <w:rPr>
          <w:rFonts w:hint="eastAsia" w:ascii="仿宋" w:hAnsi="仿宋" w:eastAsia="仿宋" w:cs="仿宋"/>
          <w:b/>
          <w:color w:val="auto"/>
          <w:sz w:val="30"/>
          <w:szCs w:val="30"/>
          <w:highlight w:val="none"/>
        </w:rPr>
      </w:pPr>
      <w:r>
        <w:rPr>
          <w:rFonts w:hint="eastAsia" w:ascii="仿宋" w:hAnsi="仿宋" w:eastAsia="仿宋" w:cs="仿宋"/>
          <w:color w:val="auto"/>
          <w:highlight w:val="none"/>
        </w:rPr>
        <w:t xml:space="preserve"> </w:t>
      </w:r>
      <w:r>
        <w:rPr>
          <w:rFonts w:hint="eastAsia" w:ascii="仿宋" w:hAnsi="仿宋" w:eastAsia="仿宋" w:cs="仿宋"/>
          <w:b/>
          <w:color w:val="auto"/>
          <w:sz w:val="30"/>
          <w:szCs w:val="30"/>
          <w:highlight w:val="none"/>
          <w:lang w:val="en-US" w:eastAsia="zh-CN"/>
        </w:rPr>
        <w:t>（另附，且合同主要条款必须填写完整）</w:t>
      </w:r>
    </w:p>
    <w:p w14:paraId="6727EFE4">
      <w:pPr>
        <w:rPr>
          <w:rFonts w:hint="eastAsia" w:ascii="仿宋" w:hAnsi="仿宋" w:eastAsia="仿宋" w:cs="仿宋"/>
          <w:b/>
          <w:color w:val="auto"/>
          <w:sz w:val="30"/>
          <w:szCs w:val="30"/>
          <w:highlight w:val="none"/>
        </w:rPr>
      </w:pPr>
    </w:p>
    <w:p w14:paraId="00F5B585">
      <w:pPr>
        <w:ind w:firstLine="2394" w:firstLineChars="795"/>
        <w:rPr>
          <w:rFonts w:hint="eastAsia" w:ascii="仿宋" w:hAnsi="仿宋" w:eastAsia="仿宋" w:cs="仿宋"/>
          <w:b/>
          <w:color w:val="auto"/>
          <w:sz w:val="30"/>
          <w:szCs w:val="30"/>
          <w:highlight w:val="none"/>
        </w:rPr>
      </w:pPr>
    </w:p>
    <w:p w14:paraId="5F817CBE">
      <w:pPr>
        <w:pStyle w:val="57"/>
        <w:rPr>
          <w:rFonts w:hint="eastAsia" w:ascii="仿宋" w:hAnsi="仿宋" w:eastAsia="仿宋" w:cs="仿宋"/>
          <w:b/>
          <w:color w:val="auto"/>
          <w:sz w:val="30"/>
          <w:szCs w:val="30"/>
          <w:highlight w:val="none"/>
        </w:rPr>
      </w:pPr>
    </w:p>
    <w:p w14:paraId="183387AC">
      <w:pPr>
        <w:pStyle w:val="57"/>
        <w:rPr>
          <w:rFonts w:hint="eastAsia" w:ascii="仿宋" w:hAnsi="仿宋" w:eastAsia="仿宋" w:cs="仿宋"/>
          <w:b/>
          <w:color w:val="auto"/>
          <w:sz w:val="30"/>
          <w:szCs w:val="30"/>
          <w:highlight w:val="none"/>
        </w:rPr>
      </w:pPr>
    </w:p>
    <w:p w14:paraId="3860D89A">
      <w:pPr>
        <w:pStyle w:val="57"/>
        <w:rPr>
          <w:rFonts w:hint="eastAsia" w:ascii="仿宋" w:hAnsi="仿宋" w:eastAsia="仿宋" w:cs="仿宋"/>
          <w:b/>
          <w:color w:val="auto"/>
          <w:sz w:val="30"/>
          <w:szCs w:val="30"/>
          <w:highlight w:val="none"/>
        </w:rPr>
      </w:pPr>
    </w:p>
    <w:p w14:paraId="25E64383">
      <w:pPr>
        <w:pStyle w:val="57"/>
        <w:rPr>
          <w:rFonts w:hint="eastAsia" w:ascii="仿宋" w:hAnsi="仿宋" w:eastAsia="仿宋" w:cs="仿宋"/>
          <w:b/>
          <w:color w:val="auto"/>
          <w:sz w:val="30"/>
          <w:szCs w:val="30"/>
          <w:highlight w:val="none"/>
        </w:rPr>
      </w:pPr>
    </w:p>
    <w:p w14:paraId="355E7CFC">
      <w:pPr>
        <w:pStyle w:val="57"/>
        <w:rPr>
          <w:rFonts w:hint="eastAsia" w:ascii="仿宋" w:hAnsi="仿宋" w:eastAsia="仿宋" w:cs="仿宋"/>
          <w:b/>
          <w:color w:val="auto"/>
          <w:sz w:val="30"/>
          <w:szCs w:val="30"/>
          <w:highlight w:val="none"/>
        </w:rPr>
      </w:pPr>
    </w:p>
    <w:p w14:paraId="5D9DC34F">
      <w:pPr>
        <w:pStyle w:val="57"/>
        <w:rPr>
          <w:rFonts w:hint="eastAsia" w:ascii="仿宋" w:hAnsi="仿宋" w:eastAsia="仿宋" w:cs="仿宋"/>
          <w:b/>
          <w:color w:val="auto"/>
          <w:sz w:val="30"/>
          <w:szCs w:val="30"/>
          <w:highlight w:val="none"/>
        </w:rPr>
      </w:pPr>
    </w:p>
    <w:p w14:paraId="421AC8F2">
      <w:pPr>
        <w:pStyle w:val="57"/>
        <w:rPr>
          <w:rFonts w:hint="eastAsia" w:ascii="仿宋" w:hAnsi="仿宋" w:eastAsia="仿宋" w:cs="仿宋"/>
          <w:b/>
          <w:color w:val="auto"/>
          <w:sz w:val="30"/>
          <w:szCs w:val="30"/>
          <w:highlight w:val="none"/>
        </w:rPr>
      </w:pPr>
    </w:p>
    <w:p w14:paraId="65BC6B4F">
      <w:pPr>
        <w:pStyle w:val="57"/>
        <w:rPr>
          <w:rFonts w:hint="eastAsia" w:ascii="仿宋" w:hAnsi="仿宋" w:eastAsia="仿宋" w:cs="仿宋"/>
          <w:b/>
          <w:color w:val="auto"/>
          <w:sz w:val="30"/>
          <w:szCs w:val="30"/>
          <w:highlight w:val="none"/>
        </w:rPr>
      </w:pPr>
    </w:p>
    <w:p w14:paraId="6C44350E">
      <w:pPr>
        <w:pStyle w:val="57"/>
        <w:rPr>
          <w:rFonts w:hint="eastAsia" w:ascii="仿宋" w:hAnsi="仿宋" w:eastAsia="仿宋" w:cs="仿宋"/>
          <w:b/>
          <w:color w:val="auto"/>
          <w:sz w:val="30"/>
          <w:szCs w:val="30"/>
          <w:highlight w:val="none"/>
        </w:rPr>
      </w:pPr>
    </w:p>
    <w:p w14:paraId="59FA9548">
      <w:pPr>
        <w:pStyle w:val="57"/>
        <w:rPr>
          <w:rFonts w:hint="eastAsia" w:ascii="仿宋" w:hAnsi="仿宋" w:eastAsia="仿宋" w:cs="仿宋"/>
          <w:b/>
          <w:color w:val="auto"/>
          <w:sz w:val="30"/>
          <w:szCs w:val="30"/>
          <w:highlight w:val="none"/>
        </w:rPr>
      </w:pPr>
    </w:p>
    <w:p w14:paraId="63B33D07">
      <w:pPr>
        <w:pStyle w:val="57"/>
        <w:rPr>
          <w:rFonts w:hint="eastAsia" w:ascii="仿宋" w:hAnsi="仿宋" w:eastAsia="仿宋" w:cs="仿宋"/>
          <w:b/>
          <w:color w:val="auto"/>
          <w:sz w:val="30"/>
          <w:szCs w:val="30"/>
          <w:highlight w:val="none"/>
        </w:rPr>
      </w:pPr>
    </w:p>
    <w:p w14:paraId="1E3A3DB1">
      <w:pPr>
        <w:pStyle w:val="57"/>
        <w:rPr>
          <w:rFonts w:hint="eastAsia" w:ascii="仿宋" w:hAnsi="仿宋" w:eastAsia="仿宋" w:cs="仿宋"/>
          <w:b/>
          <w:color w:val="auto"/>
          <w:sz w:val="30"/>
          <w:szCs w:val="30"/>
          <w:highlight w:val="none"/>
        </w:rPr>
      </w:pPr>
    </w:p>
    <w:p w14:paraId="2C03FC8C">
      <w:pPr>
        <w:pStyle w:val="57"/>
        <w:rPr>
          <w:rFonts w:hint="eastAsia" w:ascii="仿宋" w:hAnsi="仿宋" w:eastAsia="仿宋" w:cs="仿宋"/>
          <w:b/>
          <w:color w:val="auto"/>
          <w:sz w:val="30"/>
          <w:szCs w:val="30"/>
          <w:highlight w:val="none"/>
        </w:rPr>
      </w:pPr>
    </w:p>
    <w:p w14:paraId="28595046">
      <w:pPr>
        <w:pStyle w:val="57"/>
        <w:rPr>
          <w:rFonts w:hint="eastAsia" w:ascii="仿宋" w:hAnsi="仿宋" w:eastAsia="仿宋" w:cs="仿宋"/>
          <w:b/>
          <w:color w:val="auto"/>
          <w:sz w:val="30"/>
          <w:szCs w:val="30"/>
          <w:highlight w:val="none"/>
        </w:rPr>
      </w:pPr>
    </w:p>
    <w:p w14:paraId="1D9EBA5A">
      <w:pPr>
        <w:pStyle w:val="57"/>
        <w:rPr>
          <w:rFonts w:hint="eastAsia" w:ascii="仿宋" w:hAnsi="仿宋" w:eastAsia="仿宋" w:cs="仿宋"/>
          <w:b/>
          <w:color w:val="auto"/>
          <w:sz w:val="30"/>
          <w:szCs w:val="30"/>
          <w:highlight w:val="none"/>
        </w:rPr>
      </w:pPr>
    </w:p>
    <w:p w14:paraId="74225D62">
      <w:pPr>
        <w:pStyle w:val="57"/>
        <w:rPr>
          <w:rFonts w:hint="eastAsia" w:ascii="仿宋" w:hAnsi="仿宋" w:eastAsia="仿宋" w:cs="仿宋"/>
          <w:b/>
          <w:color w:val="auto"/>
          <w:sz w:val="30"/>
          <w:szCs w:val="30"/>
          <w:highlight w:val="none"/>
        </w:rPr>
      </w:pPr>
    </w:p>
    <w:p w14:paraId="0D3B13D3">
      <w:pPr>
        <w:pStyle w:val="2"/>
        <w:keepLines w:val="0"/>
        <w:widowControl/>
        <w:spacing w:before="0" w:after="0" w:line="240" w:lineRule="auto"/>
        <w:jc w:val="center"/>
        <w:rPr>
          <w:rFonts w:hint="eastAsia" w:ascii="Times New Roman" w:hAnsi="Times New Roman" w:eastAsia="宋体" w:cs="Times New Roman"/>
          <w:b/>
          <w:bCs/>
          <w:color w:val="auto"/>
          <w:kern w:val="44"/>
          <w:sz w:val="32"/>
          <w:szCs w:val="32"/>
          <w:highlight w:val="none"/>
          <w:lang w:val="en-US" w:eastAsia="zh-CN" w:bidi="ar-SA"/>
        </w:rPr>
      </w:pPr>
      <w:bookmarkStart w:id="125" w:name="_Toc11789"/>
      <w:r>
        <w:rPr>
          <w:rFonts w:hint="eastAsia" w:ascii="Times New Roman" w:hAnsi="Times New Roman" w:eastAsia="宋体" w:cs="Times New Roman"/>
          <w:b/>
          <w:bCs/>
          <w:color w:val="auto"/>
          <w:kern w:val="44"/>
          <w:sz w:val="32"/>
          <w:szCs w:val="32"/>
          <w:highlight w:val="none"/>
          <w:lang w:val="en-US" w:eastAsia="zh-CN" w:bidi="ar-SA"/>
        </w:rPr>
        <w:t>第五章  招标内容及</w:t>
      </w:r>
      <w:bookmarkEnd w:id="117"/>
      <w:bookmarkEnd w:id="118"/>
      <w:bookmarkEnd w:id="119"/>
      <w:bookmarkEnd w:id="120"/>
      <w:bookmarkEnd w:id="121"/>
      <w:bookmarkEnd w:id="122"/>
      <w:bookmarkEnd w:id="123"/>
      <w:bookmarkEnd w:id="124"/>
      <w:r>
        <w:rPr>
          <w:rFonts w:hint="eastAsia" w:ascii="Times New Roman" w:hAnsi="Times New Roman" w:eastAsia="宋体" w:cs="Times New Roman"/>
          <w:b/>
          <w:bCs/>
          <w:color w:val="auto"/>
          <w:kern w:val="44"/>
          <w:sz w:val="32"/>
          <w:szCs w:val="32"/>
          <w:highlight w:val="none"/>
          <w:lang w:val="en-US" w:eastAsia="zh-CN" w:bidi="ar-SA"/>
        </w:rPr>
        <w:t>要求</w:t>
      </w:r>
      <w:bookmarkEnd w:id="125"/>
    </w:p>
    <w:p w14:paraId="2E14D9D3">
      <w:pPr>
        <w:tabs>
          <w:tab w:val="left" w:pos="3500"/>
        </w:tabs>
        <w:spacing w:line="440" w:lineRule="exact"/>
        <w:rPr>
          <w:rFonts w:hint="eastAsia" w:ascii="仿宋" w:hAnsi="仿宋" w:eastAsia="仿宋" w:cs="仿宋"/>
          <w:b/>
          <w:color w:val="auto"/>
          <w:sz w:val="32"/>
          <w:szCs w:val="32"/>
          <w:highlight w:val="none"/>
          <w:lang w:val="en-US" w:eastAsia="zh-CN"/>
        </w:rPr>
      </w:pPr>
      <w:bookmarkStart w:id="126" w:name="_Toc144974851"/>
      <w:bookmarkStart w:id="127" w:name="_Toc179632800"/>
      <w:bookmarkStart w:id="128" w:name="_Toc152045782"/>
      <w:bookmarkStart w:id="129" w:name="_Toc481760121"/>
      <w:bookmarkStart w:id="130" w:name="_Toc247085866"/>
      <w:bookmarkStart w:id="131" w:name="_Toc152042571"/>
      <w:bookmarkStart w:id="132" w:name="_Toc246996350"/>
      <w:bookmarkStart w:id="133" w:name="_Toc246997093"/>
      <w:bookmarkStart w:id="134" w:name="_Toc247096438"/>
      <w:r>
        <w:rPr>
          <w:rFonts w:hint="eastAsia" w:ascii="仿宋" w:hAnsi="仿宋" w:eastAsia="仿宋" w:cs="仿宋"/>
          <w:b/>
          <w:color w:val="auto"/>
          <w:szCs w:val="21"/>
          <w:highlight w:val="none"/>
        </w:rPr>
        <w:t>（一）工程项目概况</w:t>
      </w:r>
      <w:r>
        <w:rPr>
          <w:rFonts w:hint="eastAsia" w:ascii="仿宋" w:hAnsi="仿宋" w:eastAsia="仿宋" w:cs="仿宋"/>
          <w:b/>
          <w:color w:val="auto"/>
          <w:szCs w:val="21"/>
          <w:highlight w:val="none"/>
          <w:lang w:val="en-US" w:eastAsia="zh-CN"/>
        </w:rPr>
        <w:t>:</w:t>
      </w:r>
    </w:p>
    <w:p w14:paraId="00755192">
      <w:pPr>
        <w:spacing w:line="360" w:lineRule="auto"/>
        <w:rPr>
          <w:rFonts w:hint="eastAsia" w:ascii="仿宋" w:hAnsi="仿宋" w:eastAsia="仿宋" w:cs="仿宋"/>
          <w:b/>
          <w:color w:val="auto"/>
          <w:szCs w:val="21"/>
          <w:highlight w:val="none"/>
        </w:rPr>
      </w:pPr>
      <w:permStart w:id="49" w:edGrp="everyone"/>
      <w:r>
        <w:rPr>
          <w:rFonts w:hint="eastAsia" w:ascii="仿宋" w:hAnsi="仿宋" w:eastAsia="仿宋" w:cs="仿宋"/>
          <w:b/>
          <w:color w:val="auto"/>
          <w:szCs w:val="21"/>
          <w:highlight w:val="none"/>
          <w:u w:val="single"/>
        </w:rPr>
        <w:t xml:space="preserve">   </w:t>
      </w:r>
      <w:r>
        <w:rPr>
          <w:rFonts w:hint="eastAsia" w:ascii="仿宋" w:hAnsi="仿宋" w:eastAsia="仿宋" w:cs="仿宋"/>
          <w:b/>
          <w:color w:val="auto"/>
          <w:szCs w:val="21"/>
          <w:highlight w:val="none"/>
          <w:u w:val="single"/>
          <w:lang w:val="en-US" w:eastAsia="zh-CN"/>
        </w:rPr>
        <w:t xml:space="preserve"> </w:t>
      </w:r>
      <w:r>
        <w:rPr>
          <w:rFonts w:hint="eastAsia" w:ascii="仿宋" w:hAnsi="仿宋" w:eastAsia="仿宋" w:cs="仿宋"/>
          <w:b/>
          <w:color w:val="auto"/>
          <w:szCs w:val="21"/>
          <w:highlight w:val="none"/>
          <w:u w:val="single"/>
        </w:rPr>
        <w:t xml:space="preserve">项目建设用地面积61600.7平方米，建筑规模≥61600.7平方米，包括地块内的生产车间、研发办公楼、消防水池区水泵房、白洋路等配套设施的建设及相关地块园区内的道路、防护绿化、配套市政管网等基础设施（具体以初步设计内容为准） </w:t>
      </w:r>
      <w:permEnd w:id="49"/>
      <w:r>
        <w:rPr>
          <w:rFonts w:hint="eastAsia" w:ascii="仿宋" w:hAnsi="仿宋" w:eastAsia="仿宋" w:cs="仿宋"/>
          <w:b/>
          <w:color w:val="auto"/>
          <w:szCs w:val="21"/>
          <w:highlight w:val="none"/>
          <w:u w:val="single"/>
        </w:rPr>
        <w:t xml:space="preserve"> </w:t>
      </w:r>
    </w:p>
    <w:p w14:paraId="44134DC3">
      <w:pPr>
        <w:spacing w:line="360" w:lineRule="auto"/>
        <w:rPr>
          <w:rFonts w:hint="eastAsia" w:ascii="仿宋" w:hAnsi="仿宋" w:eastAsia="仿宋" w:cs="仿宋"/>
          <w:b/>
          <w:color w:val="auto"/>
          <w:szCs w:val="21"/>
          <w:highlight w:val="none"/>
          <w:u w:val="single"/>
        </w:rPr>
      </w:pPr>
      <w:permStart w:id="50" w:edGrp="everyone"/>
      <w:r>
        <w:rPr>
          <w:rFonts w:hint="eastAsia" w:ascii="仿宋" w:hAnsi="仿宋" w:eastAsia="仿宋" w:cs="仿宋"/>
          <w:b/>
          <w:color w:val="auto"/>
          <w:szCs w:val="21"/>
          <w:highlight w:val="none"/>
          <w:u w:val="single"/>
        </w:rPr>
        <w:t>本次招标分为1个标段，拟选择</w:t>
      </w:r>
      <w:r>
        <w:rPr>
          <w:rFonts w:hint="eastAsia" w:ascii="仿宋" w:hAnsi="仿宋" w:eastAsia="仿宋" w:cs="仿宋"/>
          <w:b/>
          <w:color w:val="auto"/>
          <w:szCs w:val="21"/>
          <w:highlight w:val="none"/>
          <w:u w:val="single"/>
          <w:lang w:val="en-US" w:eastAsia="zh-CN"/>
        </w:rPr>
        <w:t>1</w:t>
      </w:r>
      <w:r>
        <w:rPr>
          <w:rFonts w:hint="eastAsia" w:ascii="仿宋" w:hAnsi="仿宋" w:eastAsia="仿宋" w:cs="仿宋"/>
          <w:b/>
          <w:color w:val="auto"/>
          <w:szCs w:val="21"/>
          <w:highlight w:val="none"/>
          <w:u w:val="single"/>
        </w:rPr>
        <w:t>个中标人</w:t>
      </w:r>
      <w:r>
        <w:rPr>
          <w:rFonts w:hint="eastAsia" w:ascii="仿宋" w:hAnsi="仿宋" w:eastAsia="仿宋" w:cs="仿宋"/>
          <w:b/>
          <w:color w:val="auto"/>
          <w:szCs w:val="21"/>
          <w:highlight w:val="none"/>
          <w:u w:val="single"/>
          <w:lang w:val="en-US" w:eastAsia="zh-CN"/>
        </w:rPr>
        <w:t>，详见报价清单</w:t>
      </w:r>
      <w:r>
        <w:rPr>
          <w:rFonts w:hint="eastAsia" w:ascii="仿宋" w:hAnsi="仿宋" w:eastAsia="仿宋" w:cs="仿宋"/>
          <w:b/>
          <w:color w:val="auto"/>
          <w:szCs w:val="21"/>
          <w:highlight w:val="none"/>
          <w:u w:val="single"/>
        </w:rPr>
        <w:t xml:space="preserve"> </w:t>
      </w:r>
      <w:permEnd w:id="50"/>
      <w:r>
        <w:rPr>
          <w:rFonts w:hint="eastAsia" w:ascii="仿宋" w:hAnsi="仿宋" w:eastAsia="仿宋" w:cs="仿宋"/>
          <w:b/>
          <w:color w:val="auto"/>
          <w:szCs w:val="21"/>
          <w:highlight w:val="none"/>
          <w:u w:val="single"/>
        </w:rPr>
        <w:t xml:space="preserve"> 。</w:t>
      </w:r>
    </w:p>
    <w:p w14:paraId="1CDD26D2">
      <w:pPr>
        <w:spacing w:line="360" w:lineRule="auto"/>
        <w:rPr>
          <w:rFonts w:hint="eastAsia" w:ascii="仿宋" w:hAnsi="仿宋" w:eastAsia="仿宋" w:cs="仿宋"/>
          <w:b/>
          <w:color w:val="auto"/>
          <w:szCs w:val="21"/>
          <w:highlight w:val="none"/>
        </w:rPr>
      </w:pPr>
      <w:permStart w:id="51" w:edGrp="everyone"/>
      <w:r>
        <w:rPr>
          <w:rFonts w:hint="eastAsia" w:ascii="仿宋" w:hAnsi="仿宋" w:eastAsia="仿宋" w:cs="仿宋"/>
          <w:b/>
          <w:color w:val="auto"/>
          <w:szCs w:val="21"/>
          <w:highlight w:val="none"/>
        </w:rPr>
        <w:t>（二）招标采购清单（单位：元）</w:t>
      </w:r>
      <w:r>
        <w:rPr>
          <w:rFonts w:hint="eastAsia" w:ascii="仿宋" w:hAnsi="仿宋" w:eastAsia="仿宋" w:cs="仿宋"/>
          <w:color w:val="auto"/>
          <w:szCs w:val="21"/>
          <w:highlight w:val="none"/>
        </w:rPr>
        <w:t>：</w:t>
      </w:r>
    </w:p>
    <w:tbl>
      <w:tblPr>
        <w:tblStyle w:val="28"/>
        <w:tblW w:w="973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73"/>
        <w:gridCol w:w="901"/>
        <w:gridCol w:w="817"/>
        <w:gridCol w:w="510"/>
        <w:gridCol w:w="925"/>
        <w:gridCol w:w="928"/>
        <w:gridCol w:w="720"/>
        <w:gridCol w:w="840"/>
        <w:gridCol w:w="747"/>
        <w:gridCol w:w="800"/>
        <w:gridCol w:w="786"/>
        <w:gridCol w:w="812"/>
        <w:gridCol w:w="576"/>
      </w:tblGrid>
      <w:tr w14:paraId="4B716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373" w:type="dxa"/>
            <w:tcBorders>
              <w:top w:val="single" w:color="000000" w:sz="4" w:space="0"/>
              <w:left w:val="single" w:color="000000" w:sz="4" w:space="0"/>
              <w:bottom w:val="single" w:color="000000" w:sz="4" w:space="0"/>
              <w:right w:val="single" w:color="000000" w:sz="4" w:space="0"/>
            </w:tcBorders>
            <w:noWrap/>
            <w:vAlign w:val="center"/>
          </w:tcPr>
          <w:p w14:paraId="17205549">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一</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4D59B8CE">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二</w:t>
            </w:r>
          </w:p>
        </w:tc>
        <w:tc>
          <w:tcPr>
            <w:tcW w:w="817" w:type="dxa"/>
            <w:tcBorders>
              <w:top w:val="single" w:color="000000" w:sz="4" w:space="0"/>
              <w:left w:val="single" w:color="000000" w:sz="4" w:space="0"/>
              <w:bottom w:val="single" w:color="000000" w:sz="4" w:space="0"/>
              <w:right w:val="single" w:color="000000" w:sz="4" w:space="0"/>
            </w:tcBorders>
            <w:noWrap/>
            <w:vAlign w:val="center"/>
          </w:tcPr>
          <w:p w14:paraId="30A468DC">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三</w:t>
            </w:r>
          </w:p>
        </w:tc>
        <w:tc>
          <w:tcPr>
            <w:tcW w:w="510" w:type="dxa"/>
            <w:tcBorders>
              <w:top w:val="single" w:color="000000" w:sz="4" w:space="0"/>
              <w:left w:val="single" w:color="000000" w:sz="4" w:space="0"/>
              <w:bottom w:val="single" w:color="000000" w:sz="4" w:space="0"/>
              <w:right w:val="single" w:color="000000" w:sz="4" w:space="0"/>
            </w:tcBorders>
            <w:noWrap/>
            <w:vAlign w:val="center"/>
          </w:tcPr>
          <w:p w14:paraId="1A19A2A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四</w:t>
            </w:r>
          </w:p>
        </w:tc>
        <w:tc>
          <w:tcPr>
            <w:tcW w:w="925" w:type="dxa"/>
            <w:tcBorders>
              <w:top w:val="single" w:color="000000" w:sz="4" w:space="0"/>
              <w:left w:val="single" w:color="000000" w:sz="4" w:space="0"/>
              <w:bottom w:val="single" w:color="000000" w:sz="4" w:space="0"/>
              <w:right w:val="single" w:color="000000" w:sz="4" w:space="0"/>
            </w:tcBorders>
            <w:noWrap/>
            <w:vAlign w:val="center"/>
          </w:tcPr>
          <w:p w14:paraId="0B0B979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五</w:t>
            </w:r>
          </w:p>
        </w:tc>
        <w:tc>
          <w:tcPr>
            <w:tcW w:w="928" w:type="dxa"/>
            <w:tcBorders>
              <w:top w:val="single" w:color="000000" w:sz="4" w:space="0"/>
              <w:left w:val="single" w:color="000000" w:sz="4" w:space="0"/>
              <w:bottom w:val="single" w:color="000000" w:sz="4" w:space="0"/>
              <w:right w:val="single" w:color="000000" w:sz="4" w:space="0"/>
            </w:tcBorders>
            <w:noWrap/>
            <w:vAlign w:val="center"/>
          </w:tcPr>
          <w:p w14:paraId="7B06092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六</w:t>
            </w:r>
          </w:p>
        </w:tc>
        <w:tc>
          <w:tcPr>
            <w:tcW w:w="720" w:type="dxa"/>
            <w:tcBorders>
              <w:top w:val="single" w:color="000000" w:sz="4" w:space="0"/>
              <w:left w:val="single" w:color="000000" w:sz="4" w:space="0"/>
              <w:bottom w:val="single" w:color="000000" w:sz="4" w:space="0"/>
              <w:right w:val="single" w:color="000000" w:sz="4" w:space="0"/>
            </w:tcBorders>
            <w:noWrap/>
            <w:vAlign w:val="center"/>
          </w:tcPr>
          <w:p w14:paraId="05B3276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七</w:t>
            </w:r>
          </w:p>
        </w:tc>
        <w:tc>
          <w:tcPr>
            <w:tcW w:w="840" w:type="dxa"/>
            <w:tcBorders>
              <w:top w:val="single" w:color="000000" w:sz="4" w:space="0"/>
              <w:left w:val="single" w:color="000000" w:sz="4" w:space="0"/>
              <w:bottom w:val="single" w:color="000000" w:sz="4" w:space="0"/>
              <w:right w:val="single" w:color="000000" w:sz="4" w:space="0"/>
            </w:tcBorders>
            <w:noWrap/>
            <w:vAlign w:val="center"/>
          </w:tcPr>
          <w:p w14:paraId="0F119D6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八</w:t>
            </w:r>
          </w:p>
        </w:tc>
        <w:tc>
          <w:tcPr>
            <w:tcW w:w="747" w:type="dxa"/>
            <w:tcBorders>
              <w:top w:val="single" w:color="000000" w:sz="4" w:space="0"/>
              <w:left w:val="single" w:color="000000" w:sz="4" w:space="0"/>
              <w:bottom w:val="single" w:color="000000" w:sz="4" w:space="0"/>
              <w:right w:val="single" w:color="000000" w:sz="4" w:space="0"/>
            </w:tcBorders>
            <w:noWrap/>
            <w:vAlign w:val="center"/>
          </w:tcPr>
          <w:p w14:paraId="7F99282F">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九</w:t>
            </w:r>
          </w:p>
        </w:tc>
        <w:tc>
          <w:tcPr>
            <w:tcW w:w="800" w:type="dxa"/>
            <w:tcBorders>
              <w:top w:val="single" w:color="000000" w:sz="4" w:space="0"/>
              <w:left w:val="single" w:color="000000" w:sz="4" w:space="0"/>
              <w:bottom w:val="single" w:color="000000" w:sz="4" w:space="0"/>
              <w:right w:val="single" w:color="000000" w:sz="4" w:space="0"/>
            </w:tcBorders>
            <w:noWrap/>
            <w:vAlign w:val="center"/>
          </w:tcPr>
          <w:p w14:paraId="2A0D8ABD">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十</w:t>
            </w:r>
          </w:p>
        </w:tc>
        <w:tc>
          <w:tcPr>
            <w:tcW w:w="786" w:type="dxa"/>
            <w:tcBorders>
              <w:top w:val="single" w:color="000000" w:sz="4" w:space="0"/>
              <w:left w:val="single" w:color="000000" w:sz="4" w:space="0"/>
              <w:bottom w:val="single" w:color="000000" w:sz="4" w:space="0"/>
              <w:right w:val="single" w:color="000000" w:sz="4" w:space="0"/>
            </w:tcBorders>
            <w:noWrap/>
            <w:vAlign w:val="center"/>
          </w:tcPr>
          <w:p w14:paraId="2CA849C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十一</w:t>
            </w:r>
          </w:p>
        </w:tc>
        <w:tc>
          <w:tcPr>
            <w:tcW w:w="812" w:type="dxa"/>
            <w:tcBorders>
              <w:top w:val="single" w:color="000000" w:sz="4" w:space="0"/>
              <w:left w:val="single" w:color="000000" w:sz="4" w:space="0"/>
              <w:bottom w:val="single" w:color="000000" w:sz="4" w:space="0"/>
              <w:right w:val="single" w:color="000000" w:sz="4" w:space="0"/>
            </w:tcBorders>
            <w:noWrap/>
            <w:vAlign w:val="center"/>
          </w:tcPr>
          <w:p w14:paraId="2EFF192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十二</w:t>
            </w:r>
          </w:p>
        </w:tc>
        <w:tc>
          <w:tcPr>
            <w:tcW w:w="576" w:type="dxa"/>
            <w:tcBorders>
              <w:top w:val="single" w:color="000000" w:sz="4" w:space="0"/>
              <w:left w:val="single" w:color="000000" w:sz="4" w:space="0"/>
              <w:bottom w:val="single" w:color="000000" w:sz="4" w:space="0"/>
              <w:right w:val="single" w:color="000000" w:sz="4" w:space="0"/>
            </w:tcBorders>
            <w:noWrap/>
            <w:vAlign w:val="center"/>
          </w:tcPr>
          <w:p w14:paraId="6989C63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十三</w:t>
            </w:r>
          </w:p>
        </w:tc>
      </w:tr>
      <w:tr w14:paraId="16202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2" w:hRule="atLeast"/>
        </w:trPr>
        <w:tc>
          <w:tcPr>
            <w:tcW w:w="373" w:type="dxa"/>
            <w:tcBorders>
              <w:top w:val="single" w:color="000000" w:sz="4" w:space="0"/>
              <w:left w:val="single" w:color="000000" w:sz="4" w:space="0"/>
              <w:bottom w:val="single" w:color="000000" w:sz="4" w:space="0"/>
              <w:right w:val="single" w:color="000000" w:sz="4" w:space="0"/>
            </w:tcBorders>
            <w:noWrap/>
            <w:vAlign w:val="center"/>
          </w:tcPr>
          <w:p w14:paraId="4C4AC3A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序号</w:t>
            </w: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402C0AE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子目名称</w:t>
            </w:r>
          </w:p>
        </w:tc>
        <w:tc>
          <w:tcPr>
            <w:tcW w:w="817" w:type="dxa"/>
            <w:tcBorders>
              <w:top w:val="single" w:color="000000" w:sz="4" w:space="0"/>
              <w:left w:val="single" w:color="000000" w:sz="4" w:space="0"/>
              <w:bottom w:val="single" w:color="000000" w:sz="4" w:space="0"/>
              <w:right w:val="single" w:color="000000" w:sz="4" w:space="0"/>
            </w:tcBorders>
            <w:noWrap/>
            <w:vAlign w:val="center"/>
          </w:tcPr>
          <w:p w14:paraId="58E68197">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规格型号</w:t>
            </w:r>
          </w:p>
        </w:tc>
        <w:tc>
          <w:tcPr>
            <w:tcW w:w="510" w:type="dxa"/>
            <w:tcBorders>
              <w:top w:val="single" w:color="000000" w:sz="4" w:space="0"/>
              <w:left w:val="single" w:color="000000" w:sz="4" w:space="0"/>
              <w:bottom w:val="single" w:color="000000" w:sz="4" w:space="0"/>
              <w:right w:val="single" w:color="000000" w:sz="4" w:space="0"/>
            </w:tcBorders>
            <w:noWrap/>
            <w:vAlign w:val="center"/>
          </w:tcPr>
          <w:p w14:paraId="1EA1A2A0">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单位</w:t>
            </w:r>
          </w:p>
        </w:tc>
        <w:tc>
          <w:tcPr>
            <w:tcW w:w="925" w:type="dxa"/>
            <w:tcBorders>
              <w:top w:val="single" w:color="000000" w:sz="4" w:space="0"/>
              <w:left w:val="single" w:color="000000" w:sz="4" w:space="0"/>
              <w:bottom w:val="single" w:color="000000" w:sz="4" w:space="0"/>
              <w:right w:val="single" w:color="000000" w:sz="4" w:space="0"/>
            </w:tcBorders>
            <w:noWrap/>
            <w:vAlign w:val="center"/>
          </w:tcPr>
          <w:p w14:paraId="26818F52">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数量</w:t>
            </w:r>
          </w:p>
        </w:tc>
        <w:tc>
          <w:tcPr>
            <w:tcW w:w="928" w:type="dxa"/>
            <w:tcBorders>
              <w:top w:val="single" w:color="000000" w:sz="4" w:space="0"/>
              <w:left w:val="single" w:color="000000" w:sz="4" w:space="0"/>
              <w:bottom w:val="single" w:color="000000" w:sz="4" w:space="0"/>
              <w:right w:val="single" w:color="000000" w:sz="4" w:space="0"/>
            </w:tcBorders>
            <w:noWrap w:val="0"/>
            <w:vAlign w:val="center"/>
          </w:tcPr>
          <w:p w14:paraId="25FB276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不含税控制单价（元）</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14:paraId="2D69A667">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税点（%）</w:t>
            </w:r>
          </w:p>
        </w:tc>
        <w:tc>
          <w:tcPr>
            <w:tcW w:w="840" w:type="dxa"/>
            <w:tcBorders>
              <w:top w:val="single" w:color="000000" w:sz="4" w:space="0"/>
              <w:left w:val="single" w:color="000000" w:sz="4" w:space="0"/>
              <w:bottom w:val="single" w:color="000000" w:sz="4" w:space="0"/>
              <w:right w:val="single" w:color="000000" w:sz="4" w:space="0"/>
            </w:tcBorders>
            <w:noWrap w:val="0"/>
            <w:vAlign w:val="center"/>
          </w:tcPr>
          <w:p w14:paraId="6CC5850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不含税单价（元）</w:t>
            </w:r>
          </w:p>
        </w:tc>
        <w:tc>
          <w:tcPr>
            <w:tcW w:w="747" w:type="dxa"/>
            <w:tcBorders>
              <w:top w:val="single" w:color="000000" w:sz="4" w:space="0"/>
              <w:left w:val="single" w:color="000000" w:sz="4" w:space="0"/>
              <w:bottom w:val="single" w:color="000000" w:sz="4" w:space="0"/>
              <w:right w:val="single" w:color="000000" w:sz="4" w:space="0"/>
            </w:tcBorders>
            <w:noWrap w:val="0"/>
            <w:vAlign w:val="center"/>
          </w:tcPr>
          <w:p w14:paraId="23722956">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含税单价（元）</w:t>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4571B27A">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不含税合价（元）</w:t>
            </w: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330D1AB1">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含税合价（元）</w:t>
            </w:r>
          </w:p>
        </w:tc>
        <w:tc>
          <w:tcPr>
            <w:tcW w:w="812" w:type="dxa"/>
            <w:tcBorders>
              <w:top w:val="single" w:color="000000" w:sz="4" w:space="0"/>
              <w:left w:val="single" w:color="000000" w:sz="4" w:space="0"/>
              <w:bottom w:val="single" w:color="000000" w:sz="4" w:space="0"/>
              <w:right w:val="single" w:color="000000" w:sz="4" w:space="0"/>
            </w:tcBorders>
            <w:noWrap/>
            <w:vAlign w:val="center"/>
          </w:tcPr>
          <w:p w14:paraId="5D9E51D3">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工作内容</w:t>
            </w:r>
          </w:p>
        </w:tc>
        <w:tc>
          <w:tcPr>
            <w:tcW w:w="576" w:type="dxa"/>
            <w:tcBorders>
              <w:top w:val="single" w:color="000000" w:sz="4" w:space="0"/>
              <w:left w:val="single" w:color="000000" w:sz="4" w:space="0"/>
              <w:bottom w:val="single" w:color="000000" w:sz="4" w:space="0"/>
              <w:right w:val="single" w:color="000000" w:sz="4" w:space="0"/>
            </w:tcBorders>
            <w:noWrap/>
            <w:vAlign w:val="center"/>
          </w:tcPr>
          <w:p w14:paraId="79496674">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备注</w:t>
            </w:r>
          </w:p>
        </w:tc>
      </w:tr>
      <w:tr w14:paraId="14B30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8" w:hRule="atLeast"/>
        </w:trPr>
        <w:tc>
          <w:tcPr>
            <w:tcW w:w="37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289446">
            <w:pPr>
              <w:jc w:val="center"/>
              <w:rPr>
                <w:rFonts w:hint="eastAsia" w:ascii="宋体" w:hAnsi="宋体" w:eastAsia="宋体" w:cs="宋体"/>
                <w:b w:val="0"/>
                <w:bCs w:val="0"/>
                <w:i w:val="0"/>
                <w:iCs w:val="0"/>
                <w:color w:val="auto"/>
                <w:sz w:val="21"/>
                <w:szCs w:val="21"/>
                <w:u w:val="none"/>
                <w:lang w:val="en-US" w:eastAsia="zh-CN"/>
              </w:rPr>
            </w:pPr>
            <w:r>
              <w:rPr>
                <w:rFonts w:hint="eastAsia" w:ascii="宋体" w:hAnsi="宋体" w:eastAsia="宋体" w:cs="宋体"/>
                <w:b w:val="0"/>
                <w:bCs w:val="0"/>
                <w:i w:val="0"/>
                <w:iCs w:val="0"/>
                <w:color w:val="auto"/>
                <w:sz w:val="21"/>
                <w:szCs w:val="21"/>
                <w:u w:val="none"/>
                <w:lang w:val="en-US" w:eastAsia="zh-CN"/>
              </w:rPr>
              <w:t>1</w:t>
            </w:r>
          </w:p>
        </w:tc>
        <w:tc>
          <w:tcPr>
            <w:tcW w:w="901" w:type="dxa"/>
            <w:tcBorders>
              <w:top w:val="single" w:color="000000" w:sz="4" w:space="0"/>
              <w:left w:val="single" w:color="000000" w:sz="4" w:space="0"/>
              <w:bottom w:val="single" w:color="000000" w:sz="4" w:space="0"/>
              <w:right w:val="single" w:color="000000" w:sz="4" w:space="0"/>
            </w:tcBorders>
            <w:shd w:val="clear" w:color="000000" w:fill="FFFFFF"/>
            <w:noWrap w:val="0"/>
            <w:vAlign w:val="center"/>
          </w:tcPr>
          <w:p w14:paraId="13DB5215">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电动单梁起重机</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74042E">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color w:val="000000"/>
                <w:kern w:val="0"/>
                <w:sz w:val="18"/>
                <w:szCs w:val="18"/>
              </w:rPr>
              <w:t>Gn=5t,S=22.5m,LDA电动单梁（地面操作）</w:t>
            </w:r>
          </w:p>
        </w:tc>
        <w:tc>
          <w:tcPr>
            <w:tcW w:w="510" w:type="dxa"/>
            <w:tcBorders>
              <w:top w:val="single" w:color="000000" w:sz="4" w:space="0"/>
              <w:left w:val="single" w:color="000000" w:sz="4" w:space="0"/>
              <w:bottom w:val="single" w:color="000000" w:sz="4" w:space="0"/>
              <w:right w:val="single" w:color="000000" w:sz="4" w:space="0"/>
            </w:tcBorders>
            <w:shd w:val="clear" w:color="000000" w:fill="FFFFFF"/>
            <w:noWrap/>
            <w:vAlign w:val="center"/>
          </w:tcPr>
          <w:p w14:paraId="188EE52F">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bidi="ar-SA"/>
              </w:rPr>
            </w:pPr>
            <w:r>
              <w:rPr>
                <w:rFonts w:hint="eastAsia" w:ascii="宋体" w:hAnsi="宋体" w:cs="宋体"/>
                <w:i w:val="0"/>
                <w:iCs w:val="0"/>
                <w:color w:val="000000"/>
                <w:kern w:val="0"/>
                <w:sz w:val="21"/>
                <w:szCs w:val="21"/>
                <w:u w:val="none"/>
                <w:lang w:val="en-US" w:eastAsia="zh-CN" w:bidi="ar"/>
              </w:rPr>
              <w:t>台</w:t>
            </w:r>
          </w:p>
        </w:tc>
        <w:tc>
          <w:tcPr>
            <w:tcW w:w="925" w:type="dxa"/>
            <w:tcBorders>
              <w:top w:val="single" w:color="000000" w:sz="4" w:space="0"/>
              <w:left w:val="single" w:color="000000" w:sz="4" w:space="0"/>
              <w:bottom w:val="single" w:color="000000" w:sz="4" w:space="0"/>
              <w:right w:val="single" w:color="000000" w:sz="4" w:space="0"/>
            </w:tcBorders>
            <w:shd w:val="clear" w:color="000000" w:fill="FFFFFF"/>
            <w:noWrap w:val="0"/>
            <w:vAlign w:val="center"/>
          </w:tcPr>
          <w:p w14:paraId="1056433C">
            <w:pPr>
              <w:keepNext w:val="0"/>
              <w:keepLines w:val="0"/>
              <w:widowControl/>
              <w:suppressLineNumbers w:val="0"/>
              <w:jc w:val="center"/>
              <w:textAlignment w:val="center"/>
              <w:rPr>
                <w:rFonts w:hint="default" w:ascii="宋体" w:hAnsi="宋体" w:eastAsia="宋体" w:cs="宋体"/>
                <w:color w:val="000000"/>
                <w:kern w:val="0"/>
                <w:sz w:val="21"/>
                <w:szCs w:val="21"/>
                <w:lang w:val="en-US" w:eastAsia="zh-CN" w:bidi="ar-SA"/>
              </w:rPr>
            </w:pPr>
            <w:r>
              <w:rPr>
                <w:rFonts w:hint="eastAsia" w:ascii="宋体" w:hAnsi="宋体" w:cs="宋体"/>
                <w:i w:val="0"/>
                <w:iCs w:val="0"/>
                <w:color w:val="000000"/>
                <w:kern w:val="0"/>
                <w:sz w:val="21"/>
                <w:szCs w:val="21"/>
                <w:u w:val="none"/>
                <w:lang w:val="en-US" w:eastAsia="zh-CN" w:bidi="ar"/>
              </w:rPr>
              <w:t>24</w:t>
            </w:r>
          </w:p>
        </w:tc>
        <w:tc>
          <w:tcPr>
            <w:tcW w:w="928" w:type="dxa"/>
            <w:tcBorders>
              <w:top w:val="single" w:color="000000" w:sz="4" w:space="0"/>
              <w:left w:val="single" w:color="000000" w:sz="4" w:space="0"/>
              <w:bottom w:val="single" w:color="000000" w:sz="4" w:space="0"/>
              <w:right w:val="single" w:color="000000" w:sz="4" w:space="0"/>
            </w:tcBorders>
            <w:noWrap/>
            <w:vAlign w:val="center"/>
          </w:tcPr>
          <w:p w14:paraId="5FF0523B">
            <w:pPr>
              <w:jc w:val="center"/>
              <w:rPr>
                <w:rFonts w:hint="eastAsia" w:ascii="宋体" w:hAnsi="宋体" w:eastAsia="宋体" w:cs="宋体"/>
                <w:b w:val="0"/>
                <w:bCs w:val="0"/>
                <w:i w:val="0"/>
                <w:iCs w:val="0"/>
                <w:color w:val="auto"/>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noWrap/>
            <w:vAlign w:val="center"/>
          </w:tcPr>
          <w:p w14:paraId="1D500E2A">
            <w:pPr>
              <w:jc w:val="center"/>
              <w:rPr>
                <w:rFonts w:hint="eastAsia" w:ascii="宋体" w:hAnsi="宋体" w:eastAsia="宋体" w:cs="宋体"/>
                <w:b w:val="0"/>
                <w:bCs w:val="0"/>
                <w:i w:val="0"/>
                <w:iCs w:val="0"/>
                <w:color w:val="auto"/>
                <w:sz w:val="21"/>
                <w:szCs w:val="21"/>
                <w:u w:val="none"/>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14:paraId="77F4E7CC">
            <w:pPr>
              <w:jc w:val="center"/>
              <w:rPr>
                <w:rFonts w:hint="default" w:ascii="Arial" w:hAnsi="Arial" w:eastAsia="宋体" w:cs="Arial"/>
                <w:b w:val="0"/>
                <w:bCs w:val="0"/>
                <w:i w:val="0"/>
                <w:iCs w:val="0"/>
                <w:color w:val="auto"/>
                <w:sz w:val="21"/>
                <w:szCs w:val="21"/>
                <w:u w:val="none"/>
              </w:rPr>
            </w:pPr>
          </w:p>
        </w:tc>
        <w:tc>
          <w:tcPr>
            <w:tcW w:w="747" w:type="dxa"/>
            <w:tcBorders>
              <w:top w:val="single" w:color="000000" w:sz="4" w:space="0"/>
              <w:left w:val="single" w:color="000000" w:sz="4" w:space="0"/>
              <w:bottom w:val="single" w:color="000000" w:sz="4" w:space="0"/>
              <w:right w:val="single" w:color="000000" w:sz="4" w:space="0"/>
            </w:tcBorders>
            <w:noWrap/>
            <w:vAlign w:val="center"/>
          </w:tcPr>
          <w:p w14:paraId="41C1B6C6">
            <w:pPr>
              <w:jc w:val="center"/>
              <w:rPr>
                <w:rFonts w:hint="default" w:ascii="Arial" w:hAnsi="Arial" w:eastAsia="宋体" w:cs="Arial"/>
                <w:b w:val="0"/>
                <w:bCs w:val="0"/>
                <w:i w:val="0"/>
                <w:iCs w:val="0"/>
                <w:color w:val="auto"/>
                <w:sz w:val="21"/>
                <w:szCs w:val="21"/>
                <w:u w:val="none"/>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14:paraId="776B8348">
            <w:pPr>
              <w:jc w:val="center"/>
              <w:rPr>
                <w:rFonts w:hint="default" w:ascii="Arial" w:hAnsi="Arial" w:eastAsia="宋体" w:cs="Arial"/>
                <w:b w:val="0"/>
                <w:bCs w:val="0"/>
                <w:i w:val="0"/>
                <w:iCs w:val="0"/>
                <w:color w:val="auto"/>
                <w:sz w:val="21"/>
                <w:szCs w:val="21"/>
                <w:u w:val="none"/>
              </w:rPr>
            </w:pPr>
          </w:p>
        </w:tc>
        <w:tc>
          <w:tcPr>
            <w:tcW w:w="786" w:type="dxa"/>
            <w:tcBorders>
              <w:top w:val="single" w:color="000000" w:sz="4" w:space="0"/>
              <w:left w:val="single" w:color="000000" w:sz="4" w:space="0"/>
              <w:bottom w:val="single" w:color="000000" w:sz="4" w:space="0"/>
              <w:right w:val="single" w:color="000000" w:sz="4" w:space="0"/>
            </w:tcBorders>
            <w:noWrap/>
            <w:vAlign w:val="center"/>
          </w:tcPr>
          <w:p w14:paraId="3CDFB395">
            <w:pPr>
              <w:jc w:val="center"/>
              <w:rPr>
                <w:rFonts w:hint="default" w:ascii="Arial" w:hAnsi="Arial" w:eastAsia="宋体" w:cs="Arial"/>
                <w:b w:val="0"/>
                <w:bCs w:val="0"/>
                <w:i w:val="0"/>
                <w:iCs w:val="0"/>
                <w:color w:val="auto"/>
                <w:sz w:val="21"/>
                <w:szCs w:val="21"/>
                <w:u w:val="none"/>
              </w:rPr>
            </w:pPr>
          </w:p>
        </w:tc>
        <w:tc>
          <w:tcPr>
            <w:tcW w:w="812" w:type="dxa"/>
            <w:tcBorders>
              <w:top w:val="single" w:color="000000" w:sz="4" w:space="0"/>
              <w:left w:val="single" w:color="000000" w:sz="4" w:space="0"/>
              <w:bottom w:val="nil"/>
              <w:right w:val="single" w:color="000000" w:sz="4" w:space="0"/>
            </w:tcBorders>
            <w:noWrap w:val="0"/>
            <w:vAlign w:val="center"/>
          </w:tcPr>
          <w:p w14:paraId="23E29496">
            <w:pPr>
              <w:jc w:val="center"/>
              <w:rPr>
                <w:rFonts w:hint="eastAsia" w:ascii="宋体" w:hAnsi="宋体" w:eastAsia="宋体" w:cs="宋体"/>
                <w:b w:val="0"/>
                <w:bCs w:val="0"/>
                <w:i w:val="0"/>
                <w:iCs w:val="0"/>
                <w:color w:val="auto"/>
                <w:sz w:val="21"/>
                <w:szCs w:val="21"/>
                <w:u w:val="none"/>
              </w:rPr>
            </w:pPr>
          </w:p>
        </w:tc>
        <w:tc>
          <w:tcPr>
            <w:tcW w:w="576" w:type="dxa"/>
            <w:tcBorders>
              <w:top w:val="single" w:color="000000" w:sz="4" w:space="0"/>
              <w:left w:val="single" w:color="000000" w:sz="4" w:space="0"/>
              <w:bottom w:val="single" w:color="000000" w:sz="4" w:space="0"/>
              <w:right w:val="single" w:color="000000" w:sz="4" w:space="0"/>
            </w:tcBorders>
            <w:noWrap w:val="0"/>
            <w:vAlign w:val="center"/>
          </w:tcPr>
          <w:p w14:paraId="7FB7F4CB">
            <w:pPr>
              <w:jc w:val="center"/>
              <w:rPr>
                <w:rFonts w:hint="eastAsia" w:ascii="宋体" w:hAnsi="宋体" w:eastAsia="宋体" w:cs="宋体"/>
                <w:b w:val="0"/>
                <w:bCs w:val="0"/>
                <w:i w:val="0"/>
                <w:iCs w:val="0"/>
                <w:color w:val="auto"/>
                <w:sz w:val="21"/>
                <w:szCs w:val="21"/>
                <w:u w:val="none"/>
              </w:rPr>
            </w:pPr>
          </w:p>
        </w:tc>
      </w:tr>
      <w:tr w14:paraId="18DF4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373" w:type="dxa"/>
            <w:tcBorders>
              <w:top w:val="single" w:color="000000" w:sz="4" w:space="0"/>
              <w:left w:val="single" w:color="000000" w:sz="4" w:space="0"/>
              <w:bottom w:val="single" w:color="000000" w:sz="4" w:space="0"/>
              <w:right w:val="single" w:color="000000" w:sz="4" w:space="0"/>
            </w:tcBorders>
            <w:noWrap w:val="0"/>
            <w:vAlign w:val="center"/>
          </w:tcPr>
          <w:p w14:paraId="1F066892">
            <w:pPr>
              <w:jc w:val="center"/>
              <w:rPr>
                <w:rFonts w:hint="eastAsia" w:ascii="宋体" w:hAnsi="宋体" w:eastAsia="宋体" w:cs="宋体"/>
                <w:b w:val="0"/>
                <w:bCs w:val="0"/>
                <w:i w:val="0"/>
                <w:iCs w:val="0"/>
                <w:color w:val="auto"/>
                <w:sz w:val="21"/>
                <w:szCs w:val="21"/>
                <w:u w:val="none"/>
              </w:rPr>
            </w:pPr>
          </w:p>
        </w:tc>
        <w:tc>
          <w:tcPr>
            <w:tcW w:w="901" w:type="dxa"/>
            <w:tcBorders>
              <w:top w:val="single" w:color="000000" w:sz="4" w:space="0"/>
              <w:left w:val="single" w:color="000000" w:sz="4" w:space="0"/>
              <w:bottom w:val="single" w:color="000000" w:sz="4" w:space="0"/>
              <w:right w:val="single" w:color="000000" w:sz="4" w:space="0"/>
            </w:tcBorders>
            <w:noWrap/>
            <w:vAlign w:val="center"/>
          </w:tcPr>
          <w:p w14:paraId="7D11CECB">
            <w:pPr>
              <w:keepNext w:val="0"/>
              <w:keepLines w:val="0"/>
              <w:widowControl/>
              <w:suppressLineNumbers w:val="0"/>
              <w:jc w:val="center"/>
              <w:textAlignment w:val="center"/>
              <w:rPr>
                <w:rFonts w:hint="eastAsia" w:ascii="宋体" w:hAnsi="宋体" w:eastAsia="宋体" w:cs="宋体"/>
                <w:b w:val="0"/>
                <w:bCs w:val="0"/>
                <w:i w:val="0"/>
                <w:iCs w:val="0"/>
                <w:color w:val="auto"/>
                <w:sz w:val="21"/>
                <w:szCs w:val="21"/>
                <w:u w:val="none"/>
              </w:rPr>
            </w:pPr>
            <w:r>
              <w:rPr>
                <w:rFonts w:hint="eastAsia" w:ascii="宋体" w:hAnsi="宋体" w:eastAsia="宋体" w:cs="宋体"/>
                <w:b w:val="0"/>
                <w:bCs w:val="0"/>
                <w:i w:val="0"/>
                <w:iCs w:val="0"/>
                <w:color w:val="auto"/>
                <w:kern w:val="0"/>
                <w:sz w:val="21"/>
                <w:szCs w:val="21"/>
                <w:u w:val="none"/>
                <w:lang w:val="en-US" w:eastAsia="zh-CN" w:bidi="ar"/>
              </w:rPr>
              <w:t>合计</w:t>
            </w:r>
          </w:p>
        </w:tc>
        <w:tc>
          <w:tcPr>
            <w:tcW w:w="817" w:type="dxa"/>
            <w:tcBorders>
              <w:top w:val="single" w:color="000000" w:sz="4" w:space="0"/>
              <w:left w:val="single" w:color="000000" w:sz="4" w:space="0"/>
              <w:bottom w:val="single" w:color="000000" w:sz="4" w:space="0"/>
              <w:right w:val="single" w:color="000000" w:sz="4" w:space="0"/>
            </w:tcBorders>
            <w:noWrap/>
            <w:vAlign w:val="center"/>
          </w:tcPr>
          <w:p w14:paraId="5BF1226A">
            <w:pPr>
              <w:jc w:val="center"/>
              <w:rPr>
                <w:rFonts w:hint="eastAsia" w:ascii="宋体" w:hAnsi="宋体" w:eastAsia="宋体" w:cs="宋体"/>
                <w:b w:val="0"/>
                <w:bCs w:val="0"/>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noWrap/>
            <w:vAlign w:val="center"/>
          </w:tcPr>
          <w:p w14:paraId="3936009C">
            <w:pPr>
              <w:jc w:val="center"/>
              <w:rPr>
                <w:rFonts w:hint="eastAsia" w:ascii="宋体" w:hAnsi="宋体" w:eastAsia="宋体" w:cs="宋体"/>
                <w:b w:val="0"/>
                <w:bCs w:val="0"/>
                <w:i w:val="0"/>
                <w:iCs w:val="0"/>
                <w:color w:val="auto"/>
                <w:sz w:val="21"/>
                <w:szCs w:val="21"/>
                <w:u w:val="none"/>
              </w:rPr>
            </w:pPr>
          </w:p>
        </w:tc>
        <w:tc>
          <w:tcPr>
            <w:tcW w:w="925" w:type="dxa"/>
            <w:tcBorders>
              <w:top w:val="single" w:color="000000" w:sz="4" w:space="0"/>
              <w:left w:val="single" w:color="000000" w:sz="4" w:space="0"/>
              <w:bottom w:val="single" w:color="000000" w:sz="4" w:space="0"/>
              <w:right w:val="single" w:color="000000" w:sz="4" w:space="0"/>
            </w:tcBorders>
            <w:noWrap/>
            <w:vAlign w:val="center"/>
          </w:tcPr>
          <w:p w14:paraId="0E9C5518">
            <w:pPr>
              <w:jc w:val="center"/>
              <w:rPr>
                <w:rFonts w:hint="eastAsia" w:ascii="宋体" w:hAnsi="宋体" w:eastAsia="宋体" w:cs="宋体"/>
                <w:b w:val="0"/>
                <w:bCs w:val="0"/>
                <w:i w:val="0"/>
                <w:iCs w:val="0"/>
                <w:color w:val="auto"/>
                <w:sz w:val="21"/>
                <w:szCs w:val="21"/>
                <w:u w:val="none"/>
              </w:rPr>
            </w:pPr>
          </w:p>
        </w:tc>
        <w:tc>
          <w:tcPr>
            <w:tcW w:w="928" w:type="dxa"/>
            <w:tcBorders>
              <w:top w:val="single" w:color="000000" w:sz="4" w:space="0"/>
              <w:left w:val="single" w:color="000000" w:sz="4" w:space="0"/>
              <w:bottom w:val="single" w:color="000000" w:sz="4" w:space="0"/>
              <w:right w:val="single" w:color="000000" w:sz="4" w:space="0"/>
            </w:tcBorders>
            <w:noWrap/>
            <w:vAlign w:val="center"/>
          </w:tcPr>
          <w:p w14:paraId="5799EC88">
            <w:pPr>
              <w:jc w:val="center"/>
              <w:rPr>
                <w:rFonts w:hint="eastAsia" w:ascii="宋体" w:hAnsi="宋体" w:eastAsia="宋体" w:cs="宋体"/>
                <w:b w:val="0"/>
                <w:bCs w:val="0"/>
                <w:i w:val="0"/>
                <w:iCs w:val="0"/>
                <w:color w:val="auto"/>
                <w:sz w:val="21"/>
                <w:szCs w:val="21"/>
                <w:u w:val="none"/>
              </w:rPr>
            </w:pPr>
          </w:p>
        </w:tc>
        <w:tc>
          <w:tcPr>
            <w:tcW w:w="720" w:type="dxa"/>
            <w:tcBorders>
              <w:top w:val="single" w:color="000000" w:sz="4" w:space="0"/>
              <w:left w:val="single" w:color="000000" w:sz="4" w:space="0"/>
              <w:bottom w:val="single" w:color="000000" w:sz="4" w:space="0"/>
              <w:right w:val="single" w:color="000000" w:sz="4" w:space="0"/>
            </w:tcBorders>
            <w:noWrap/>
            <w:vAlign w:val="center"/>
          </w:tcPr>
          <w:p w14:paraId="160618E5">
            <w:pPr>
              <w:jc w:val="center"/>
              <w:rPr>
                <w:rFonts w:hint="eastAsia" w:ascii="宋体" w:hAnsi="宋体" w:eastAsia="宋体" w:cs="宋体"/>
                <w:b w:val="0"/>
                <w:bCs w:val="0"/>
                <w:i w:val="0"/>
                <w:iCs w:val="0"/>
                <w:color w:val="auto"/>
                <w:sz w:val="21"/>
                <w:szCs w:val="21"/>
                <w:u w:val="none"/>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14:paraId="5F62DC35">
            <w:pPr>
              <w:jc w:val="center"/>
              <w:rPr>
                <w:rFonts w:hint="default" w:ascii="Arial" w:hAnsi="Arial" w:eastAsia="宋体" w:cs="Arial"/>
                <w:b w:val="0"/>
                <w:bCs w:val="0"/>
                <w:i w:val="0"/>
                <w:iCs w:val="0"/>
                <w:color w:val="auto"/>
                <w:sz w:val="21"/>
                <w:szCs w:val="21"/>
                <w:u w:val="none"/>
              </w:rPr>
            </w:pPr>
          </w:p>
        </w:tc>
        <w:tc>
          <w:tcPr>
            <w:tcW w:w="747" w:type="dxa"/>
            <w:tcBorders>
              <w:top w:val="single" w:color="000000" w:sz="4" w:space="0"/>
              <w:left w:val="single" w:color="000000" w:sz="4" w:space="0"/>
              <w:bottom w:val="single" w:color="000000" w:sz="4" w:space="0"/>
              <w:right w:val="single" w:color="000000" w:sz="4" w:space="0"/>
            </w:tcBorders>
            <w:noWrap/>
            <w:vAlign w:val="center"/>
          </w:tcPr>
          <w:p w14:paraId="59413F2A">
            <w:pPr>
              <w:jc w:val="center"/>
              <w:rPr>
                <w:rFonts w:hint="default" w:ascii="Arial" w:hAnsi="Arial" w:eastAsia="宋体" w:cs="Arial"/>
                <w:b w:val="0"/>
                <w:bCs w:val="0"/>
                <w:i w:val="0"/>
                <w:iCs w:val="0"/>
                <w:color w:val="auto"/>
                <w:sz w:val="21"/>
                <w:szCs w:val="21"/>
                <w:u w:val="none"/>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14:paraId="677D8E8B">
            <w:pPr>
              <w:jc w:val="center"/>
              <w:rPr>
                <w:rFonts w:hint="default" w:ascii="Arial" w:hAnsi="Arial" w:eastAsia="宋体" w:cs="Arial"/>
                <w:b w:val="0"/>
                <w:bCs w:val="0"/>
                <w:i w:val="0"/>
                <w:iCs w:val="0"/>
                <w:color w:val="auto"/>
                <w:sz w:val="21"/>
                <w:szCs w:val="21"/>
                <w:u w:val="none"/>
              </w:rPr>
            </w:pPr>
          </w:p>
        </w:tc>
        <w:tc>
          <w:tcPr>
            <w:tcW w:w="786" w:type="dxa"/>
            <w:tcBorders>
              <w:top w:val="single" w:color="000000" w:sz="4" w:space="0"/>
              <w:left w:val="single" w:color="000000" w:sz="4" w:space="0"/>
              <w:bottom w:val="single" w:color="000000" w:sz="4" w:space="0"/>
              <w:right w:val="single" w:color="000000" w:sz="4" w:space="0"/>
            </w:tcBorders>
            <w:noWrap/>
            <w:vAlign w:val="center"/>
          </w:tcPr>
          <w:p w14:paraId="3C81027C">
            <w:pPr>
              <w:jc w:val="center"/>
              <w:rPr>
                <w:rFonts w:hint="default" w:ascii="Arial" w:hAnsi="Arial" w:eastAsia="宋体" w:cs="Arial"/>
                <w:b w:val="0"/>
                <w:bCs w:val="0"/>
                <w:i w:val="0"/>
                <w:iCs w:val="0"/>
                <w:color w:val="auto"/>
                <w:sz w:val="21"/>
                <w:szCs w:val="21"/>
                <w:u w:val="none"/>
              </w:rPr>
            </w:pPr>
          </w:p>
        </w:tc>
        <w:tc>
          <w:tcPr>
            <w:tcW w:w="812" w:type="dxa"/>
            <w:tcBorders>
              <w:top w:val="single" w:color="000000" w:sz="4" w:space="0"/>
              <w:left w:val="single" w:color="000000" w:sz="4" w:space="0"/>
              <w:bottom w:val="single" w:color="000000" w:sz="4" w:space="0"/>
              <w:right w:val="single" w:color="000000" w:sz="4" w:space="0"/>
            </w:tcBorders>
            <w:noWrap/>
            <w:vAlign w:val="center"/>
          </w:tcPr>
          <w:p w14:paraId="61FEDE98">
            <w:pPr>
              <w:jc w:val="center"/>
              <w:rPr>
                <w:rFonts w:hint="default" w:ascii="Arial" w:hAnsi="Arial" w:eastAsia="宋体" w:cs="Arial"/>
                <w:b w:val="0"/>
                <w:bCs w:val="0"/>
                <w:i w:val="0"/>
                <w:iCs w:val="0"/>
                <w:color w:val="auto"/>
                <w:sz w:val="21"/>
                <w:szCs w:val="21"/>
                <w:u w:val="none"/>
              </w:rPr>
            </w:pPr>
          </w:p>
        </w:tc>
        <w:tc>
          <w:tcPr>
            <w:tcW w:w="576" w:type="dxa"/>
            <w:tcBorders>
              <w:top w:val="single" w:color="000000" w:sz="4" w:space="0"/>
              <w:left w:val="single" w:color="000000" w:sz="4" w:space="0"/>
              <w:bottom w:val="single" w:color="000000" w:sz="4" w:space="0"/>
              <w:right w:val="single" w:color="000000" w:sz="4" w:space="0"/>
            </w:tcBorders>
            <w:noWrap/>
            <w:vAlign w:val="center"/>
          </w:tcPr>
          <w:p w14:paraId="338CD225">
            <w:pPr>
              <w:jc w:val="center"/>
              <w:rPr>
                <w:rFonts w:hint="default" w:ascii="Arial" w:hAnsi="Arial" w:eastAsia="宋体" w:cs="Arial"/>
                <w:b w:val="0"/>
                <w:bCs w:val="0"/>
                <w:i w:val="0"/>
                <w:iCs w:val="0"/>
                <w:color w:val="auto"/>
                <w:sz w:val="21"/>
                <w:szCs w:val="21"/>
                <w:u w:val="none"/>
              </w:rPr>
            </w:pPr>
          </w:p>
        </w:tc>
      </w:tr>
      <w:tr w14:paraId="0062E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3" w:hRule="atLeast"/>
        </w:trPr>
        <w:tc>
          <w:tcPr>
            <w:tcW w:w="9735" w:type="dxa"/>
            <w:gridSpan w:val="13"/>
            <w:tcBorders>
              <w:top w:val="single" w:color="000000" w:sz="4" w:space="0"/>
              <w:left w:val="single" w:color="000000" w:sz="4" w:space="0"/>
              <w:bottom w:val="single" w:color="000000" w:sz="4" w:space="0"/>
              <w:right w:val="single" w:color="000000" w:sz="4" w:space="0"/>
            </w:tcBorders>
            <w:noWrap/>
            <w:vAlign w:val="top"/>
          </w:tcPr>
          <w:p w14:paraId="6B8EAC64">
            <w:pPr>
              <w:keepNext/>
              <w:jc w:val="left"/>
              <w:rPr>
                <w:rFonts w:hint="eastAsia" w:ascii="宋体" w:hAnsi="宋体" w:eastAsia="宋体" w:cs="宋体"/>
                <w:color w:val="000000"/>
                <w:kern w:val="0"/>
                <w:sz w:val="18"/>
                <w:szCs w:val="18"/>
              </w:rPr>
            </w:pPr>
            <w:r>
              <w:rPr>
                <w:rFonts w:hint="eastAsia" w:ascii="宋体" w:hAnsi="宋体" w:eastAsia="宋体" w:cs="宋体"/>
                <w:b w:val="0"/>
                <w:bCs w:val="0"/>
                <w:i w:val="0"/>
                <w:iCs w:val="0"/>
                <w:color w:val="auto"/>
                <w:kern w:val="0"/>
                <w:sz w:val="21"/>
                <w:szCs w:val="21"/>
                <w:u w:val="none"/>
                <w:lang w:val="en-US" w:eastAsia="zh-CN" w:bidi="ar"/>
              </w:rPr>
              <w:t>说明：</w:t>
            </w:r>
            <w:r>
              <w:rPr>
                <w:rFonts w:hint="eastAsia" w:ascii="宋体" w:hAnsi="宋体" w:eastAsia="宋体" w:cs="宋体"/>
                <w:color w:val="000000"/>
                <w:kern w:val="0"/>
                <w:sz w:val="18"/>
                <w:szCs w:val="18"/>
              </w:rPr>
              <w:t>1、起重量5t，吊车跨度25.5m，最大轮压4.8t，最小轮压1.9t，吊车轮距3.5米，吊车宽度4米，</w:t>
            </w:r>
            <w:r>
              <w:rPr>
                <w:rFonts w:hint="eastAsia" w:cs="宋体"/>
                <w:color w:val="000000"/>
                <w:kern w:val="0"/>
                <w:sz w:val="18"/>
                <w:szCs w:val="18"/>
                <w:lang w:val="en-US" w:eastAsia="zh-CN"/>
              </w:rPr>
              <w:t>4*16</w:t>
            </w:r>
            <w:r>
              <w:rPr>
                <w:rFonts w:hint="eastAsia" w:cs="宋体"/>
                <w:color w:val="000000"/>
                <w:kern w:val="0"/>
                <w:sz w:val="18"/>
                <w:szCs w:val="18"/>
                <w:vertAlign w:val="superscript"/>
                <w:lang w:val="en-US" w:eastAsia="zh-CN"/>
              </w:rPr>
              <w:t>2</w:t>
            </w:r>
            <w:r>
              <w:rPr>
                <w:rFonts w:hint="eastAsia" w:cs="宋体"/>
                <w:color w:val="000000"/>
                <w:kern w:val="0"/>
                <w:sz w:val="18"/>
                <w:szCs w:val="18"/>
                <w:lang w:val="en-US" w:eastAsia="zh-CN"/>
              </w:rPr>
              <w:t>滑线752米，24KG轨道1504米，</w:t>
            </w:r>
            <w:r>
              <w:rPr>
                <w:rFonts w:hint="eastAsia" w:ascii="宋体" w:hAnsi="宋体" w:eastAsia="宋体" w:cs="宋体"/>
                <w:color w:val="000000"/>
                <w:kern w:val="0"/>
                <w:sz w:val="18"/>
                <w:szCs w:val="18"/>
              </w:rPr>
              <w:t>吊车类型LDA电动单梁（地面操作），操作级别A3。详细尺寸规格详见后附设计图纸。</w:t>
            </w:r>
          </w:p>
          <w:p w14:paraId="28088CD1">
            <w:pPr>
              <w:keepNext/>
              <w:jc w:val="left"/>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rPr>
              <w:t>2、质保期及售后服务2年</w:t>
            </w:r>
            <w:r>
              <w:rPr>
                <w:rFonts w:hint="eastAsia" w:ascii="宋体" w:hAnsi="宋体" w:eastAsia="宋体" w:cs="宋体"/>
                <w:color w:val="000000"/>
                <w:kern w:val="0"/>
                <w:sz w:val="18"/>
                <w:szCs w:val="18"/>
                <w:lang w:eastAsia="zh-CN"/>
              </w:rPr>
              <w:t>。</w:t>
            </w:r>
          </w:p>
          <w:p w14:paraId="3646041F">
            <w:pPr>
              <w:keepNext w:val="0"/>
              <w:keepLines w:val="0"/>
              <w:widowControl/>
              <w:suppressLineNumbers w:val="0"/>
              <w:jc w:val="left"/>
              <w:textAlignment w:val="top"/>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rPr>
              <w:t>3、含主材及辅材采购运输、转运、安装、调试，验收通过等所需的一切费用。</w:t>
            </w:r>
          </w:p>
        </w:tc>
      </w:tr>
      <w:permEnd w:id="51"/>
    </w:tbl>
    <w:p w14:paraId="16B31FC8">
      <w:pPr>
        <w:pageBreakBefore w:val="0"/>
        <w:numPr>
          <w:ilvl w:val="0"/>
          <w:numId w:val="4"/>
        </w:numPr>
        <w:kinsoku/>
        <w:wordWrap/>
        <w:overflowPunct/>
        <w:topLinePunct w:val="0"/>
        <w:autoSpaceDE/>
        <w:autoSpaceDN/>
        <w:bidi w:val="0"/>
        <w:adjustRightInd/>
        <w:snapToGrid/>
        <w:spacing w:line="400" w:lineRule="exact"/>
        <w:textAlignment w:val="auto"/>
        <w:rPr>
          <w:rFonts w:hint="eastAsia" w:ascii="仿宋" w:hAnsi="仿宋" w:eastAsia="仿宋" w:cs="仿宋"/>
          <w:color w:val="auto"/>
          <w:szCs w:val="21"/>
          <w:highlight w:val="none"/>
        </w:rPr>
      </w:pPr>
      <w:bookmarkStart w:id="135" w:name="_Toc58340087"/>
      <w:r>
        <w:rPr>
          <w:rFonts w:hint="eastAsia" w:ascii="仿宋" w:hAnsi="仿宋" w:eastAsia="仿宋" w:cs="仿宋"/>
          <w:color w:val="auto"/>
          <w:szCs w:val="21"/>
          <w:highlight w:val="none"/>
          <w:lang w:val="en-US" w:eastAsia="zh-CN"/>
        </w:rPr>
        <w:t>配件参数及品牌说明</w:t>
      </w:r>
    </w:p>
    <w:tbl>
      <w:tblPr>
        <w:tblStyle w:val="28"/>
        <w:tblpPr w:leftFromText="180" w:rightFromText="180" w:vertAnchor="text" w:horzAnchor="margin" w:tblpXSpec="center" w:tblpY="464"/>
        <w:tblW w:w="9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2304"/>
        <w:gridCol w:w="3456"/>
        <w:gridCol w:w="1571"/>
        <w:gridCol w:w="1381"/>
      </w:tblGrid>
      <w:tr w14:paraId="297D6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2952" w:type="dxa"/>
            <w:gridSpan w:val="2"/>
            <w:tcBorders>
              <w:top w:val="single" w:color="auto" w:sz="4" w:space="0"/>
              <w:left w:val="single" w:color="auto" w:sz="4" w:space="0"/>
              <w:bottom w:val="single" w:color="auto" w:sz="4" w:space="0"/>
              <w:right w:val="single" w:color="auto" w:sz="4" w:space="0"/>
            </w:tcBorders>
            <w:noWrap w:val="0"/>
            <w:vAlign w:val="center"/>
          </w:tcPr>
          <w:p w14:paraId="6E289843">
            <w:pPr>
              <w:pStyle w:val="20"/>
              <w:spacing w:line="360" w:lineRule="exact"/>
              <w:ind w:left="0" w:leftChars="0" w:right="-92" w:rightChars="-44"/>
              <w:jc w:val="center"/>
              <w:rPr>
                <w:rFonts w:hint="eastAsia" w:ascii="宋体" w:hAnsi="宋体" w:eastAsia="宋体" w:cs="宋体"/>
                <w:sz w:val="18"/>
                <w:szCs w:val="18"/>
              </w:rPr>
            </w:pPr>
            <w:r>
              <w:rPr>
                <w:rFonts w:hint="eastAsia" w:ascii="宋体" w:hAnsi="宋体" w:eastAsia="宋体" w:cs="宋体"/>
                <w:sz w:val="18"/>
                <w:szCs w:val="18"/>
              </w:rPr>
              <w:t>配置子项</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1A4DD9E0">
            <w:pPr>
              <w:pStyle w:val="20"/>
              <w:spacing w:line="360" w:lineRule="exact"/>
              <w:ind w:firstLine="180" w:firstLineChars="100"/>
              <w:rPr>
                <w:rFonts w:hint="eastAsia" w:ascii="宋体" w:hAnsi="宋体" w:eastAsia="宋体" w:cs="宋体"/>
                <w:sz w:val="18"/>
                <w:szCs w:val="18"/>
              </w:rPr>
            </w:pPr>
            <w:r>
              <w:rPr>
                <w:rFonts w:hint="eastAsia" w:ascii="宋体" w:hAnsi="宋体" w:eastAsia="宋体" w:cs="宋体"/>
                <w:sz w:val="18"/>
                <w:szCs w:val="18"/>
              </w:rPr>
              <w:t>技术规格要求</w:t>
            </w:r>
          </w:p>
        </w:tc>
        <w:tc>
          <w:tcPr>
            <w:tcW w:w="1571" w:type="dxa"/>
            <w:tcBorders>
              <w:top w:val="single" w:color="auto" w:sz="4" w:space="0"/>
              <w:left w:val="single" w:color="auto" w:sz="4" w:space="0"/>
              <w:bottom w:val="single" w:color="auto" w:sz="4" w:space="0"/>
              <w:right w:val="single" w:color="auto" w:sz="4" w:space="0"/>
            </w:tcBorders>
            <w:noWrap w:val="0"/>
            <w:vAlign w:val="center"/>
          </w:tcPr>
          <w:p w14:paraId="07AADFF4">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sz w:val="18"/>
                <w:szCs w:val="18"/>
              </w:rPr>
              <w:t>推荐品牌</w:t>
            </w:r>
          </w:p>
        </w:tc>
        <w:tc>
          <w:tcPr>
            <w:tcW w:w="1381" w:type="dxa"/>
            <w:tcBorders>
              <w:top w:val="single" w:color="auto" w:sz="4" w:space="0"/>
              <w:left w:val="single" w:color="auto" w:sz="4" w:space="0"/>
              <w:bottom w:val="single" w:color="auto" w:sz="4" w:space="0"/>
              <w:right w:val="single" w:color="auto" w:sz="4" w:space="0"/>
            </w:tcBorders>
            <w:noWrap w:val="0"/>
            <w:vAlign w:val="top"/>
          </w:tcPr>
          <w:p w14:paraId="28E0C7C1">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sz w:val="18"/>
                <w:szCs w:val="18"/>
              </w:rPr>
              <w:t>备注</w:t>
            </w:r>
          </w:p>
        </w:tc>
      </w:tr>
      <w:tr w14:paraId="37444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648" w:type="dxa"/>
            <w:vMerge w:val="restart"/>
            <w:tcBorders>
              <w:top w:val="single" w:color="auto" w:sz="4" w:space="0"/>
              <w:left w:val="single" w:color="auto" w:sz="4" w:space="0"/>
              <w:right w:val="single" w:color="auto" w:sz="4" w:space="0"/>
            </w:tcBorders>
            <w:noWrap w:val="0"/>
            <w:vAlign w:val="center"/>
          </w:tcPr>
          <w:p w14:paraId="364345BA">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sz w:val="18"/>
                <w:szCs w:val="18"/>
              </w:rPr>
              <w:t>基</w:t>
            </w:r>
          </w:p>
          <w:p w14:paraId="438A8349">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sz w:val="18"/>
                <w:szCs w:val="18"/>
              </w:rPr>
              <w:t>本</w:t>
            </w:r>
          </w:p>
          <w:p w14:paraId="2AD4F0C6">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sz w:val="18"/>
                <w:szCs w:val="18"/>
              </w:rPr>
              <w:t>配</w:t>
            </w:r>
          </w:p>
          <w:p w14:paraId="17449599">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sz w:val="18"/>
                <w:szCs w:val="18"/>
              </w:rPr>
              <w:t>置</w:t>
            </w:r>
          </w:p>
        </w:tc>
        <w:tc>
          <w:tcPr>
            <w:tcW w:w="2304" w:type="dxa"/>
            <w:vMerge w:val="restart"/>
            <w:tcBorders>
              <w:top w:val="single" w:color="auto" w:sz="4" w:space="0"/>
              <w:left w:val="single" w:color="auto" w:sz="4" w:space="0"/>
              <w:right w:val="single" w:color="auto" w:sz="4" w:space="0"/>
            </w:tcBorders>
            <w:noWrap w:val="0"/>
            <w:vAlign w:val="center"/>
          </w:tcPr>
          <w:p w14:paraId="2124A15F">
            <w:pPr>
              <w:ind w:firstLine="450" w:firstLineChars="250"/>
              <w:rPr>
                <w:rFonts w:hint="eastAsia" w:ascii="宋体" w:hAnsi="宋体" w:eastAsia="宋体" w:cs="宋体"/>
                <w:sz w:val="18"/>
                <w:szCs w:val="18"/>
              </w:rPr>
            </w:pPr>
            <w:r>
              <w:rPr>
                <w:rFonts w:hint="eastAsia" w:ascii="宋体" w:hAnsi="宋体" w:eastAsia="宋体" w:cs="宋体"/>
                <w:sz w:val="18"/>
                <w:szCs w:val="18"/>
              </w:rPr>
              <w:t>电机</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7ACEC3FA">
            <w:pPr>
              <w:rPr>
                <w:rFonts w:hint="eastAsia" w:ascii="宋体" w:hAnsi="宋体" w:eastAsia="宋体" w:cs="宋体"/>
                <w:sz w:val="18"/>
                <w:szCs w:val="18"/>
              </w:rPr>
            </w:pPr>
            <w:r>
              <w:rPr>
                <w:rFonts w:hint="eastAsia" w:ascii="宋体" w:hAnsi="宋体" w:eastAsia="宋体" w:cs="宋体"/>
                <w:sz w:val="18"/>
                <w:szCs w:val="18"/>
              </w:rPr>
              <w:t>主起升电机（≥</w:t>
            </w:r>
            <w:r>
              <w:rPr>
                <w:rFonts w:hint="eastAsia" w:ascii="宋体" w:hAnsi="宋体" w:eastAsia="宋体" w:cs="宋体"/>
                <w:sz w:val="18"/>
                <w:szCs w:val="18"/>
                <w:lang w:val="en-US" w:eastAsia="zh-CN"/>
              </w:rPr>
              <w:t>7.</w:t>
            </w:r>
            <w:r>
              <w:rPr>
                <w:rFonts w:hint="eastAsia" w:ascii="宋体" w:hAnsi="宋体" w:eastAsia="宋体" w:cs="宋体"/>
                <w:sz w:val="18"/>
                <w:szCs w:val="18"/>
              </w:rPr>
              <w:t>5KW）</w:t>
            </w:r>
          </w:p>
        </w:tc>
        <w:tc>
          <w:tcPr>
            <w:tcW w:w="1571" w:type="dxa"/>
            <w:vMerge w:val="restart"/>
            <w:tcBorders>
              <w:top w:val="single" w:color="auto" w:sz="4" w:space="0"/>
              <w:left w:val="single" w:color="auto" w:sz="4" w:space="0"/>
              <w:right w:val="single" w:color="auto" w:sz="4" w:space="0"/>
            </w:tcBorders>
            <w:noWrap w:val="0"/>
            <w:vAlign w:val="center"/>
          </w:tcPr>
          <w:p w14:paraId="509C7D37">
            <w:pPr>
              <w:autoSpaceDE w:val="0"/>
              <w:autoSpaceDN w:val="0"/>
              <w:adjustRightInd w:val="0"/>
              <w:spacing w:line="360" w:lineRule="exact"/>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南京特种</w:t>
            </w:r>
            <w:r>
              <w:rPr>
                <w:rFonts w:hint="eastAsia" w:ascii="宋体" w:hAnsi="宋体" w:cs="宋体"/>
                <w:sz w:val="18"/>
                <w:szCs w:val="18"/>
                <w:lang w:val="en-US" w:eastAsia="zh-CN"/>
              </w:rPr>
              <w:t>、江苏惠斯通、南京天正耐特机电</w:t>
            </w:r>
          </w:p>
        </w:tc>
        <w:tc>
          <w:tcPr>
            <w:tcW w:w="1381" w:type="dxa"/>
            <w:vMerge w:val="restart"/>
            <w:tcBorders>
              <w:top w:val="single" w:color="auto" w:sz="4" w:space="0"/>
              <w:left w:val="single" w:color="auto" w:sz="4" w:space="0"/>
            </w:tcBorders>
            <w:noWrap w:val="0"/>
            <w:vAlign w:val="top"/>
          </w:tcPr>
          <w:p w14:paraId="3BE66160">
            <w:pPr>
              <w:rPr>
                <w:rFonts w:hint="eastAsia" w:ascii="宋体" w:hAnsi="宋体" w:eastAsia="宋体" w:cs="宋体"/>
                <w:sz w:val="18"/>
                <w:szCs w:val="18"/>
              </w:rPr>
            </w:pPr>
          </w:p>
          <w:p w14:paraId="436658FA">
            <w:pPr>
              <w:rPr>
                <w:rFonts w:hint="eastAsia" w:ascii="宋体" w:hAnsi="宋体" w:eastAsia="宋体" w:cs="宋体"/>
                <w:sz w:val="18"/>
                <w:szCs w:val="18"/>
              </w:rPr>
            </w:pPr>
          </w:p>
          <w:p w14:paraId="16926FA1">
            <w:pPr>
              <w:rPr>
                <w:rFonts w:hint="eastAsia" w:ascii="宋体" w:hAnsi="宋体" w:eastAsia="宋体" w:cs="宋体"/>
                <w:sz w:val="18"/>
                <w:szCs w:val="18"/>
              </w:rPr>
            </w:pPr>
          </w:p>
          <w:p w14:paraId="3D4F52DE">
            <w:pPr>
              <w:rPr>
                <w:rFonts w:hint="eastAsia" w:ascii="宋体" w:hAnsi="宋体" w:eastAsia="宋体" w:cs="宋体"/>
                <w:sz w:val="18"/>
                <w:szCs w:val="18"/>
              </w:rPr>
            </w:pPr>
          </w:p>
          <w:p w14:paraId="243573E9">
            <w:pPr>
              <w:rPr>
                <w:rFonts w:hint="eastAsia" w:ascii="宋体" w:hAnsi="宋体" w:eastAsia="宋体" w:cs="宋体"/>
                <w:sz w:val="18"/>
                <w:szCs w:val="18"/>
              </w:rPr>
            </w:pPr>
            <w:r>
              <w:rPr>
                <w:rFonts w:hint="eastAsia" w:ascii="宋体" w:hAnsi="宋体" w:cs="宋体"/>
                <w:sz w:val="18"/>
                <w:szCs w:val="18"/>
                <w:lang w:val="en-US" w:eastAsia="zh-CN"/>
              </w:rPr>
              <w:t>投标单位可选用推荐品牌或不低于推荐品牌质量标准的其他品牌；如采用其他品牌的，应在投标文件中注明并提供相关技术参数、业绩等供评委会评审。</w:t>
            </w:r>
          </w:p>
          <w:p w14:paraId="4F6A36F3">
            <w:pPr>
              <w:autoSpaceDE w:val="0"/>
              <w:autoSpaceDN w:val="0"/>
              <w:adjustRightInd w:val="0"/>
              <w:spacing w:line="360" w:lineRule="exact"/>
              <w:jc w:val="center"/>
              <w:rPr>
                <w:rFonts w:hint="eastAsia" w:ascii="宋体" w:hAnsi="宋体" w:eastAsia="宋体" w:cs="宋体"/>
                <w:sz w:val="18"/>
                <w:szCs w:val="18"/>
              </w:rPr>
            </w:pPr>
          </w:p>
        </w:tc>
      </w:tr>
      <w:tr w14:paraId="7C119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24DC3719">
            <w:pPr>
              <w:autoSpaceDE w:val="0"/>
              <w:autoSpaceDN w:val="0"/>
              <w:adjustRightInd w:val="0"/>
              <w:spacing w:line="360" w:lineRule="exact"/>
              <w:jc w:val="center"/>
              <w:rPr>
                <w:rFonts w:hint="eastAsia" w:ascii="宋体" w:hAnsi="宋体" w:eastAsia="宋体" w:cs="宋体"/>
                <w:sz w:val="18"/>
                <w:szCs w:val="18"/>
              </w:rPr>
            </w:pPr>
          </w:p>
        </w:tc>
        <w:tc>
          <w:tcPr>
            <w:tcW w:w="2304" w:type="dxa"/>
            <w:vMerge w:val="continue"/>
            <w:tcBorders>
              <w:left w:val="single" w:color="auto" w:sz="4" w:space="0"/>
              <w:right w:val="single" w:color="auto" w:sz="4" w:space="0"/>
            </w:tcBorders>
            <w:noWrap w:val="0"/>
            <w:vAlign w:val="center"/>
          </w:tcPr>
          <w:p w14:paraId="40EC8E1B">
            <w:pPr>
              <w:rPr>
                <w:rFonts w:hint="eastAsia" w:ascii="宋体" w:hAnsi="宋体" w:eastAsia="宋体" w:cs="宋体"/>
                <w:sz w:val="18"/>
                <w:szCs w:val="18"/>
              </w:rPr>
            </w:pPr>
          </w:p>
        </w:tc>
        <w:tc>
          <w:tcPr>
            <w:tcW w:w="3456" w:type="dxa"/>
            <w:tcBorders>
              <w:top w:val="single" w:color="auto" w:sz="4" w:space="0"/>
              <w:left w:val="single" w:color="auto" w:sz="4" w:space="0"/>
              <w:bottom w:val="single" w:color="auto" w:sz="4" w:space="0"/>
              <w:right w:val="single" w:color="auto" w:sz="4" w:space="0"/>
            </w:tcBorders>
            <w:noWrap w:val="0"/>
            <w:vAlign w:val="center"/>
          </w:tcPr>
          <w:p w14:paraId="56AAD87A">
            <w:pPr>
              <w:rPr>
                <w:rFonts w:hint="eastAsia" w:ascii="宋体" w:hAnsi="宋体" w:eastAsia="宋体" w:cs="宋体"/>
                <w:color w:val="000000"/>
                <w:sz w:val="18"/>
                <w:szCs w:val="18"/>
              </w:rPr>
            </w:pPr>
            <w:r>
              <w:rPr>
                <w:rFonts w:hint="eastAsia" w:ascii="宋体" w:hAnsi="宋体" w:eastAsia="宋体" w:cs="宋体"/>
                <w:color w:val="000000"/>
                <w:sz w:val="18"/>
                <w:szCs w:val="18"/>
              </w:rPr>
              <w:t>小车运行电机</w:t>
            </w:r>
            <w:r>
              <w:rPr>
                <w:rFonts w:hint="eastAsia" w:ascii="宋体" w:hAnsi="宋体" w:eastAsia="宋体" w:cs="宋体"/>
                <w:sz w:val="18"/>
                <w:szCs w:val="18"/>
              </w:rPr>
              <w:t>（≥0.</w:t>
            </w:r>
            <w:r>
              <w:rPr>
                <w:rFonts w:hint="eastAsia" w:ascii="宋体" w:hAnsi="宋体" w:eastAsia="宋体" w:cs="宋体"/>
                <w:sz w:val="18"/>
                <w:szCs w:val="18"/>
                <w:lang w:val="en-US" w:eastAsia="zh-CN"/>
              </w:rPr>
              <w:t>8</w:t>
            </w:r>
            <w:r>
              <w:rPr>
                <w:rFonts w:hint="eastAsia" w:ascii="宋体" w:hAnsi="宋体" w:eastAsia="宋体" w:cs="宋体"/>
                <w:sz w:val="18"/>
                <w:szCs w:val="18"/>
              </w:rPr>
              <w:t>KW）</w:t>
            </w:r>
          </w:p>
        </w:tc>
        <w:tc>
          <w:tcPr>
            <w:tcW w:w="1571" w:type="dxa"/>
            <w:vMerge w:val="continue"/>
            <w:tcBorders>
              <w:left w:val="single" w:color="auto" w:sz="4" w:space="0"/>
              <w:right w:val="single" w:color="auto" w:sz="4" w:space="0"/>
            </w:tcBorders>
            <w:noWrap w:val="0"/>
            <w:vAlign w:val="center"/>
          </w:tcPr>
          <w:p w14:paraId="414546DC">
            <w:pPr>
              <w:autoSpaceDE w:val="0"/>
              <w:autoSpaceDN w:val="0"/>
              <w:adjustRightInd w:val="0"/>
              <w:spacing w:line="360" w:lineRule="exact"/>
              <w:jc w:val="center"/>
              <w:rPr>
                <w:rFonts w:hint="eastAsia" w:ascii="宋体" w:hAnsi="宋体" w:eastAsia="宋体" w:cs="宋体"/>
                <w:sz w:val="18"/>
                <w:szCs w:val="18"/>
              </w:rPr>
            </w:pPr>
          </w:p>
        </w:tc>
        <w:tc>
          <w:tcPr>
            <w:tcW w:w="1381" w:type="dxa"/>
            <w:vMerge w:val="continue"/>
            <w:tcBorders>
              <w:left w:val="single" w:color="auto" w:sz="4" w:space="0"/>
            </w:tcBorders>
            <w:noWrap w:val="0"/>
            <w:vAlign w:val="top"/>
          </w:tcPr>
          <w:p w14:paraId="4EF9DE01">
            <w:pPr>
              <w:autoSpaceDE w:val="0"/>
              <w:autoSpaceDN w:val="0"/>
              <w:adjustRightInd w:val="0"/>
              <w:spacing w:line="360" w:lineRule="exact"/>
              <w:jc w:val="center"/>
              <w:rPr>
                <w:rFonts w:hint="eastAsia" w:ascii="宋体" w:hAnsi="宋体" w:eastAsia="宋体" w:cs="宋体"/>
                <w:sz w:val="18"/>
                <w:szCs w:val="18"/>
              </w:rPr>
            </w:pPr>
          </w:p>
        </w:tc>
      </w:tr>
      <w:tr w14:paraId="6CF20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2C9F7AFB">
            <w:pPr>
              <w:autoSpaceDE w:val="0"/>
              <w:autoSpaceDN w:val="0"/>
              <w:adjustRightInd w:val="0"/>
              <w:spacing w:line="360" w:lineRule="exact"/>
              <w:jc w:val="center"/>
              <w:rPr>
                <w:rFonts w:hint="eastAsia" w:ascii="宋体" w:hAnsi="宋体" w:eastAsia="宋体" w:cs="宋体"/>
                <w:sz w:val="18"/>
                <w:szCs w:val="18"/>
              </w:rPr>
            </w:pPr>
          </w:p>
        </w:tc>
        <w:tc>
          <w:tcPr>
            <w:tcW w:w="2304" w:type="dxa"/>
            <w:vMerge w:val="continue"/>
            <w:tcBorders>
              <w:left w:val="single" w:color="auto" w:sz="4" w:space="0"/>
              <w:bottom w:val="single" w:color="auto" w:sz="4" w:space="0"/>
              <w:right w:val="single" w:color="auto" w:sz="4" w:space="0"/>
            </w:tcBorders>
            <w:noWrap w:val="0"/>
            <w:vAlign w:val="center"/>
          </w:tcPr>
          <w:p w14:paraId="08C48A1C">
            <w:pPr>
              <w:rPr>
                <w:rFonts w:hint="eastAsia" w:ascii="宋体" w:hAnsi="宋体" w:eastAsia="宋体" w:cs="宋体"/>
                <w:sz w:val="18"/>
                <w:szCs w:val="18"/>
              </w:rPr>
            </w:pPr>
          </w:p>
        </w:tc>
        <w:tc>
          <w:tcPr>
            <w:tcW w:w="3456" w:type="dxa"/>
            <w:tcBorders>
              <w:top w:val="single" w:color="auto" w:sz="4" w:space="0"/>
              <w:left w:val="single" w:color="auto" w:sz="4" w:space="0"/>
              <w:bottom w:val="single" w:color="auto" w:sz="4" w:space="0"/>
              <w:right w:val="single" w:color="auto" w:sz="4" w:space="0"/>
            </w:tcBorders>
            <w:noWrap w:val="0"/>
            <w:vAlign w:val="center"/>
          </w:tcPr>
          <w:p w14:paraId="3273C8CE">
            <w:pPr>
              <w:rPr>
                <w:rFonts w:hint="eastAsia" w:ascii="宋体" w:hAnsi="宋体" w:eastAsia="宋体" w:cs="宋体"/>
                <w:color w:val="000000"/>
                <w:sz w:val="18"/>
                <w:szCs w:val="18"/>
              </w:rPr>
            </w:pPr>
            <w:r>
              <w:rPr>
                <w:rFonts w:hint="eastAsia" w:ascii="宋体" w:hAnsi="宋体" w:eastAsia="宋体" w:cs="宋体"/>
                <w:color w:val="000000"/>
                <w:sz w:val="18"/>
                <w:szCs w:val="18"/>
              </w:rPr>
              <w:t>大车运行电机</w:t>
            </w:r>
            <w:r>
              <w:rPr>
                <w:rFonts w:hint="eastAsia" w:ascii="宋体" w:hAnsi="宋体" w:eastAsia="宋体" w:cs="宋体"/>
                <w:sz w:val="18"/>
                <w:szCs w:val="18"/>
              </w:rPr>
              <w:t>（≥</w:t>
            </w:r>
            <w:r>
              <w:rPr>
                <w:rFonts w:hint="eastAsia" w:ascii="宋体" w:hAnsi="宋体" w:eastAsia="宋体" w:cs="宋体"/>
                <w:sz w:val="18"/>
                <w:szCs w:val="18"/>
                <w:lang w:val="en-US" w:eastAsia="zh-CN"/>
              </w:rPr>
              <w:t>1.5</w:t>
            </w:r>
            <w:r>
              <w:rPr>
                <w:rFonts w:hint="eastAsia" w:ascii="宋体" w:hAnsi="宋体" w:eastAsia="宋体" w:cs="宋体"/>
                <w:sz w:val="18"/>
                <w:szCs w:val="18"/>
              </w:rPr>
              <w:t>KW）</w:t>
            </w:r>
          </w:p>
        </w:tc>
        <w:tc>
          <w:tcPr>
            <w:tcW w:w="1571" w:type="dxa"/>
            <w:vMerge w:val="continue"/>
            <w:tcBorders>
              <w:left w:val="single" w:color="auto" w:sz="4" w:space="0"/>
              <w:right w:val="single" w:color="auto" w:sz="4" w:space="0"/>
            </w:tcBorders>
            <w:noWrap w:val="0"/>
            <w:vAlign w:val="center"/>
          </w:tcPr>
          <w:p w14:paraId="62A3FF08">
            <w:pPr>
              <w:autoSpaceDE w:val="0"/>
              <w:autoSpaceDN w:val="0"/>
              <w:adjustRightInd w:val="0"/>
              <w:spacing w:line="360" w:lineRule="exact"/>
              <w:jc w:val="center"/>
              <w:rPr>
                <w:rFonts w:hint="eastAsia" w:ascii="宋体" w:hAnsi="宋体" w:eastAsia="宋体" w:cs="宋体"/>
                <w:sz w:val="18"/>
                <w:szCs w:val="18"/>
              </w:rPr>
            </w:pPr>
          </w:p>
        </w:tc>
        <w:tc>
          <w:tcPr>
            <w:tcW w:w="1381" w:type="dxa"/>
            <w:vMerge w:val="continue"/>
            <w:tcBorders>
              <w:left w:val="single" w:color="auto" w:sz="4" w:space="0"/>
            </w:tcBorders>
            <w:noWrap w:val="0"/>
            <w:vAlign w:val="top"/>
          </w:tcPr>
          <w:p w14:paraId="126B94F3">
            <w:pPr>
              <w:autoSpaceDE w:val="0"/>
              <w:autoSpaceDN w:val="0"/>
              <w:adjustRightInd w:val="0"/>
              <w:spacing w:line="360" w:lineRule="exact"/>
              <w:jc w:val="center"/>
              <w:rPr>
                <w:rFonts w:hint="eastAsia" w:ascii="宋体" w:hAnsi="宋体" w:eastAsia="宋体" w:cs="宋体"/>
                <w:sz w:val="18"/>
                <w:szCs w:val="18"/>
              </w:rPr>
            </w:pPr>
          </w:p>
        </w:tc>
      </w:tr>
      <w:tr w14:paraId="129AC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1D21A40B">
            <w:pPr>
              <w:autoSpaceDE w:val="0"/>
              <w:autoSpaceDN w:val="0"/>
              <w:adjustRightInd w:val="0"/>
              <w:spacing w:line="360" w:lineRule="exact"/>
              <w:jc w:val="center"/>
              <w:rPr>
                <w:rFonts w:hint="eastAsia" w:ascii="宋体" w:hAnsi="宋体" w:eastAsia="宋体" w:cs="宋体"/>
                <w:sz w:val="18"/>
                <w:szCs w:val="18"/>
              </w:rPr>
            </w:pPr>
          </w:p>
        </w:tc>
        <w:tc>
          <w:tcPr>
            <w:tcW w:w="2304" w:type="dxa"/>
            <w:vMerge w:val="restart"/>
            <w:tcBorders>
              <w:left w:val="single" w:color="auto" w:sz="4" w:space="0"/>
              <w:right w:val="single" w:color="auto" w:sz="4" w:space="0"/>
            </w:tcBorders>
            <w:noWrap w:val="0"/>
            <w:vAlign w:val="center"/>
          </w:tcPr>
          <w:p w14:paraId="363CB997">
            <w:pPr>
              <w:ind w:firstLine="360" w:firstLineChars="200"/>
              <w:rPr>
                <w:rFonts w:hint="eastAsia" w:ascii="宋体" w:hAnsi="宋体" w:eastAsia="宋体" w:cs="宋体"/>
                <w:sz w:val="18"/>
                <w:szCs w:val="18"/>
              </w:rPr>
            </w:pPr>
            <w:r>
              <w:rPr>
                <w:rFonts w:hint="eastAsia" w:ascii="宋体" w:hAnsi="宋体" w:eastAsia="宋体" w:cs="宋体"/>
                <w:sz w:val="18"/>
                <w:szCs w:val="18"/>
              </w:rPr>
              <w:t>减速机</w:t>
            </w:r>
          </w:p>
          <w:p w14:paraId="53F7AE7C">
            <w:pPr>
              <w:rPr>
                <w:rFonts w:hint="eastAsia" w:ascii="宋体" w:hAnsi="宋体" w:eastAsia="宋体" w:cs="宋体"/>
                <w:sz w:val="18"/>
                <w:szCs w:val="18"/>
              </w:rPr>
            </w:pPr>
          </w:p>
        </w:tc>
        <w:tc>
          <w:tcPr>
            <w:tcW w:w="3456" w:type="dxa"/>
            <w:tcBorders>
              <w:top w:val="single" w:color="auto" w:sz="4" w:space="0"/>
              <w:left w:val="single" w:color="auto" w:sz="4" w:space="0"/>
              <w:bottom w:val="single" w:color="auto" w:sz="4" w:space="0"/>
              <w:right w:val="single" w:color="auto" w:sz="4" w:space="0"/>
            </w:tcBorders>
            <w:noWrap w:val="0"/>
            <w:vAlign w:val="center"/>
          </w:tcPr>
          <w:p w14:paraId="77731095">
            <w:pP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起升：8m/min</w:t>
            </w:r>
          </w:p>
        </w:tc>
        <w:tc>
          <w:tcPr>
            <w:tcW w:w="1571" w:type="dxa"/>
            <w:vMerge w:val="restart"/>
            <w:tcBorders>
              <w:left w:val="single" w:color="auto" w:sz="4" w:space="0"/>
              <w:right w:val="single" w:color="auto" w:sz="4" w:space="0"/>
            </w:tcBorders>
            <w:noWrap w:val="0"/>
            <w:vAlign w:val="center"/>
          </w:tcPr>
          <w:p w14:paraId="75E6EB27">
            <w:pPr>
              <w:autoSpaceDE w:val="0"/>
              <w:autoSpaceDN w:val="0"/>
              <w:adjustRightInd w:val="0"/>
              <w:spacing w:line="360" w:lineRule="exact"/>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河南矿山</w:t>
            </w:r>
            <w:r>
              <w:rPr>
                <w:rFonts w:hint="eastAsia" w:ascii="宋体" w:hAnsi="宋体" w:cs="宋体"/>
                <w:sz w:val="18"/>
                <w:szCs w:val="18"/>
                <w:lang w:val="en-US" w:eastAsia="zh-CN"/>
              </w:rPr>
              <w:t>、江苏泰隆减速机、山东华成中德传动</w:t>
            </w:r>
          </w:p>
        </w:tc>
        <w:tc>
          <w:tcPr>
            <w:tcW w:w="1381" w:type="dxa"/>
            <w:vMerge w:val="continue"/>
            <w:tcBorders>
              <w:left w:val="single" w:color="auto" w:sz="4" w:space="0"/>
            </w:tcBorders>
            <w:noWrap w:val="0"/>
            <w:vAlign w:val="top"/>
          </w:tcPr>
          <w:p w14:paraId="19F5760F">
            <w:pPr>
              <w:autoSpaceDE w:val="0"/>
              <w:autoSpaceDN w:val="0"/>
              <w:adjustRightInd w:val="0"/>
              <w:spacing w:line="360" w:lineRule="exact"/>
              <w:jc w:val="center"/>
              <w:rPr>
                <w:rFonts w:hint="eastAsia" w:ascii="宋体" w:hAnsi="宋体" w:eastAsia="宋体" w:cs="宋体"/>
                <w:sz w:val="18"/>
                <w:szCs w:val="18"/>
              </w:rPr>
            </w:pPr>
          </w:p>
        </w:tc>
      </w:tr>
      <w:tr w14:paraId="48733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154CC1D0">
            <w:pPr>
              <w:autoSpaceDE w:val="0"/>
              <w:autoSpaceDN w:val="0"/>
              <w:adjustRightInd w:val="0"/>
              <w:spacing w:line="360" w:lineRule="exact"/>
              <w:jc w:val="center"/>
              <w:rPr>
                <w:rFonts w:hint="eastAsia" w:ascii="宋体" w:hAnsi="宋体" w:eastAsia="宋体" w:cs="宋体"/>
                <w:sz w:val="18"/>
                <w:szCs w:val="18"/>
              </w:rPr>
            </w:pPr>
          </w:p>
        </w:tc>
        <w:tc>
          <w:tcPr>
            <w:tcW w:w="2304" w:type="dxa"/>
            <w:vMerge w:val="continue"/>
            <w:tcBorders>
              <w:left w:val="single" w:color="auto" w:sz="4" w:space="0"/>
              <w:right w:val="single" w:color="auto" w:sz="4" w:space="0"/>
            </w:tcBorders>
            <w:noWrap w:val="0"/>
            <w:vAlign w:val="center"/>
          </w:tcPr>
          <w:p w14:paraId="29EEC8EC">
            <w:pPr>
              <w:rPr>
                <w:rFonts w:hint="eastAsia" w:ascii="宋体" w:hAnsi="宋体" w:eastAsia="宋体" w:cs="宋体"/>
                <w:sz w:val="18"/>
                <w:szCs w:val="18"/>
              </w:rPr>
            </w:pPr>
          </w:p>
        </w:tc>
        <w:tc>
          <w:tcPr>
            <w:tcW w:w="3456" w:type="dxa"/>
            <w:tcBorders>
              <w:top w:val="single" w:color="auto" w:sz="4" w:space="0"/>
              <w:left w:val="single" w:color="auto" w:sz="4" w:space="0"/>
              <w:bottom w:val="single" w:color="auto" w:sz="4" w:space="0"/>
              <w:right w:val="single" w:color="auto" w:sz="4" w:space="0"/>
            </w:tcBorders>
            <w:noWrap w:val="0"/>
            <w:vAlign w:val="center"/>
          </w:tcPr>
          <w:p w14:paraId="4A3FEA86">
            <w:pPr>
              <w:rPr>
                <w:rFonts w:hint="eastAsia" w:ascii="宋体" w:hAnsi="宋体" w:eastAsia="宋体" w:cs="宋体"/>
                <w:sz w:val="18"/>
                <w:szCs w:val="18"/>
              </w:rPr>
            </w:pPr>
            <w:r>
              <w:rPr>
                <w:rFonts w:hint="eastAsia" w:ascii="宋体" w:hAnsi="宋体" w:cs="宋体"/>
                <w:color w:val="000000"/>
                <w:sz w:val="18"/>
                <w:szCs w:val="18"/>
                <w:lang w:val="en-US" w:eastAsia="zh-CN"/>
              </w:rPr>
              <w:t>小车</w:t>
            </w:r>
            <w:r>
              <w:rPr>
                <w:rFonts w:hint="eastAsia" w:ascii="宋体" w:hAnsi="宋体" w:eastAsia="宋体" w:cs="宋体"/>
                <w:color w:val="000000"/>
                <w:sz w:val="18"/>
                <w:szCs w:val="18"/>
                <w:lang w:val="en-US" w:eastAsia="zh-CN"/>
              </w:rPr>
              <w:t>：</w:t>
            </w:r>
            <w:r>
              <w:rPr>
                <w:rFonts w:hint="eastAsia" w:ascii="宋体" w:hAnsi="宋体" w:cs="宋体"/>
                <w:color w:val="000000"/>
                <w:sz w:val="18"/>
                <w:szCs w:val="18"/>
                <w:lang w:val="en-US" w:eastAsia="zh-CN"/>
              </w:rPr>
              <w:t>20</w:t>
            </w:r>
            <w:r>
              <w:rPr>
                <w:rFonts w:hint="eastAsia" w:ascii="宋体" w:hAnsi="宋体" w:eastAsia="宋体" w:cs="宋体"/>
                <w:color w:val="000000"/>
                <w:sz w:val="18"/>
                <w:szCs w:val="18"/>
                <w:lang w:val="en-US" w:eastAsia="zh-CN"/>
              </w:rPr>
              <w:t>/min</w:t>
            </w:r>
          </w:p>
        </w:tc>
        <w:tc>
          <w:tcPr>
            <w:tcW w:w="1571" w:type="dxa"/>
            <w:vMerge w:val="continue"/>
            <w:tcBorders>
              <w:left w:val="single" w:color="auto" w:sz="4" w:space="0"/>
              <w:right w:val="single" w:color="auto" w:sz="4" w:space="0"/>
            </w:tcBorders>
            <w:noWrap w:val="0"/>
            <w:vAlign w:val="center"/>
          </w:tcPr>
          <w:p w14:paraId="5861D142">
            <w:pPr>
              <w:autoSpaceDE w:val="0"/>
              <w:autoSpaceDN w:val="0"/>
              <w:adjustRightInd w:val="0"/>
              <w:spacing w:line="360" w:lineRule="exact"/>
              <w:jc w:val="center"/>
              <w:rPr>
                <w:rFonts w:hint="eastAsia" w:ascii="宋体" w:hAnsi="宋体" w:eastAsia="宋体" w:cs="宋体"/>
                <w:sz w:val="18"/>
                <w:szCs w:val="18"/>
              </w:rPr>
            </w:pPr>
          </w:p>
        </w:tc>
        <w:tc>
          <w:tcPr>
            <w:tcW w:w="1381" w:type="dxa"/>
            <w:vMerge w:val="continue"/>
            <w:tcBorders>
              <w:left w:val="single" w:color="auto" w:sz="4" w:space="0"/>
            </w:tcBorders>
            <w:noWrap w:val="0"/>
            <w:vAlign w:val="top"/>
          </w:tcPr>
          <w:p w14:paraId="1B05EBA5">
            <w:pPr>
              <w:autoSpaceDE w:val="0"/>
              <w:autoSpaceDN w:val="0"/>
              <w:adjustRightInd w:val="0"/>
              <w:spacing w:line="360" w:lineRule="exact"/>
              <w:jc w:val="center"/>
              <w:rPr>
                <w:rFonts w:hint="eastAsia" w:ascii="宋体" w:hAnsi="宋体" w:eastAsia="宋体" w:cs="宋体"/>
                <w:sz w:val="18"/>
                <w:szCs w:val="18"/>
              </w:rPr>
            </w:pPr>
          </w:p>
        </w:tc>
      </w:tr>
      <w:tr w14:paraId="55482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05B83A99">
            <w:pPr>
              <w:autoSpaceDE w:val="0"/>
              <w:autoSpaceDN w:val="0"/>
              <w:adjustRightInd w:val="0"/>
              <w:spacing w:line="360" w:lineRule="exact"/>
              <w:jc w:val="center"/>
              <w:rPr>
                <w:rFonts w:hint="eastAsia" w:ascii="宋体" w:hAnsi="宋体" w:eastAsia="宋体" w:cs="宋体"/>
                <w:sz w:val="18"/>
                <w:szCs w:val="18"/>
              </w:rPr>
            </w:pPr>
          </w:p>
        </w:tc>
        <w:tc>
          <w:tcPr>
            <w:tcW w:w="2304" w:type="dxa"/>
            <w:vMerge w:val="continue"/>
            <w:tcBorders>
              <w:left w:val="single" w:color="auto" w:sz="4" w:space="0"/>
              <w:bottom w:val="single" w:color="auto" w:sz="4" w:space="0"/>
              <w:right w:val="single" w:color="auto" w:sz="4" w:space="0"/>
            </w:tcBorders>
            <w:noWrap w:val="0"/>
            <w:vAlign w:val="center"/>
          </w:tcPr>
          <w:p w14:paraId="1A60D55B">
            <w:pPr>
              <w:rPr>
                <w:rFonts w:hint="eastAsia" w:ascii="宋体" w:hAnsi="宋体" w:eastAsia="宋体" w:cs="宋体"/>
                <w:sz w:val="18"/>
                <w:szCs w:val="18"/>
              </w:rPr>
            </w:pPr>
          </w:p>
        </w:tc>
        <w:tc>
          <w:tcPr>
            <w:tcW w:w="3456" w:type="dxa"/>
            <w:tcBorders>
              <w:top w:val="single" w:color="auto" w:sz="4" w:space="0"/>
              <w:left w:val="single" w:color="auto" w:sz="4" w:space="0"/>
              <w:bottom w:val="single" w:color="auto" w:sz="4" w:space="0"/>
              <w:right w:val="single" w:color="auto" w:sz="4" w:space="0"/>
            </w:tcBorders>
            <w:noWrap w:val="0"/>
            <w:vAlign w:val="center"/>
          </w:tcPr>
          <w:p w14:paraId="566793BD">
            <w:pPr>
              <w:rPr>
                <w:rFonts w:hint="eastAsia" w:ascii="宋体" w:hAnsi="宋体" w:eastAsia="宋体" w:cs="宋体"/>
                <w:sz w:val="18"/>
                <w:szCs w:val="18"/>
              </w:rPr>
            </w:pPr>
            <w:r>
              <w:rPr>
                <w:rFonts w:hint="eastAsia" w:ascii="宋体" w:hAnsi="宋体" w:cs="宋体"/>
                <w:color w:val="000000"/>
                <w:sz w:val="18"/>
                <w:szCs w:val="18"/>
                <w:lang w:val="en-US" w:eastAsia="zh-CN"/>
              </w:rPr>
              <w:t>大车</w:t>
            </w:r>
            <w:r>
              <w:rPr>
                <w:rFonts w:hint="eastAsia" w:ascii="宋体" w:hAnsi="宋体" w:eastAsia="宋体" w:cs="宋体"/>
                <w:color w:val="000000"/>
                <w:sz w:val="18"/>
                <w:szCs w:val="18"/>
                <w:lang w:val="en-US" w:eastAsia="zh-CN"/>
              </w:rPr>
              <w:t>：</w:t>
            </w:r>
            <w:r>
              <w:rPr>
                <w:rFonts w:hint="eastAsia" w:ascii="宋体" w:hAnsi="宋体" w:cs="宋体"/>
                <w:color w:val="000000"/>
                <w:sz w:val="18"/>
                <w:szCs w:val="18"/>
                <w:lang w:val="en-US" w:eastAsia="zh-CN"/>
              </w:rPr>
              <w:t>20</w:t>
            </w:r>
            <w:r>
              <w:rPr>
                <w:rFonts w:hint="eastAsia" w:ascii="宋体" w:hAnsi="宋体" w:eastAsia="宋体" w:cs="宋体"/>
                <w:color w:val="000000"/>
                <w:sz w:val="18"/>
                <w:szCs w:val="18"/>
                <w:lang w:val="en-US" w:eastAsia="zh-CN"/>
              </w:rPr>
              <w:t>m/min</w:t>
            </w:r>
          </w:p>
        </w:tc>
        <w:tc>
          <w:tcPr>
            <w:tcW w:w="1571" w:type="dxa"/>
            <w:vMerge w:val="continue"/>
            <w:tcBorders>
              <w:left w:val="single" w:color="auto" w:sz="4" w:space="0"/>
              <w:bottom w:val="single" w:color="auto" w:sz="4" w:space="0"/>
              <w:right w:val="single" w:color="auto" w:sz="4" w:space="0"/>
            </w:tcBorders>
            <w:noWrap w:val="0"/>
            <w:vAlign w:val="center"/>
          </w:tcPr>
          <w:p w14:paraId="79696B28">
            <w:pPr>
              <w:autoSpaceDE w:val="0"/>
              <w:autoSpaceDN w:val="0"/>
              <w:adjustRightInd w:val="0"/>
              <w:spacing w:line="360" w:lineRule="exact"/>
              <w:jc w:val="center"/>
              <w:rPr>
                <w:rFonts w:hint="eastAsia" w:ascii="宋体" w:hAnsi="宋体" w:eastAsia="宋体" w:cs="宋体"/>
                <w:sz w:val="18"/>
                <w:szCs w:val="18"/>
              </w:rPr>
            </w:pPr>
          </w:p>
        </w:tc>
        <w:tc>
          <w:tcPr>
            <w:tcW w:w="1381" w:type="dxa"/>
            <w:vMerge w:val="continue"/>
            <w:tcBorders>
              <w:left w:val="single" w:color="auto" w:sz="4" w:space="0"/>
            </w:tcBorders>
            <w:noWrap w:val="0"/>
            <w:vAlign w:val="top"/>
          </w:tcPr>
          <w:p w14:paraId="64C28052">
            <w:pPr>
              <w:autoSpaceDE w:val="0"/>
              <w:autoSpaceDN w:val="0"/>
              <w:adjustRightInd w:val="0"/>
              <w:spacing w:line="360" w:lineRule="exact"/>
              <w:jc w:val="center"/>
              <w:rPr>
                <w:rFonts w:hint="eastAsia" w:ascii="宋体" w:hAnsi="宋体" w:eastAsia="宋体" w:cs="宋体"/>
                <w:sz w:val="18"/>
                <w:szCs w:val="18"/>
              </w:rPr>
            </w:pPr>
          </w:p>
        </w:tc>
      </w:tr>
      <w:tr w14:paraId="7317B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1388AEC3">
            <w:pPr>
              <w:autoSpaceDE w:val="0"/>
              <w:autoSpaceDN w:val="0"/>
              <w:adjustRightInd w:val="0"/>
              <w:spacing w:line="360" w:lineRule="exact"/>
              <w:jc w:val="center"/>
              <w:rPr>
                <w:rFonts w:hint="eastAsia" w:ascii="宋体" w:hAnsi="宋体" w:eastAsia="宋体" w:cs="宋体"/>
                <w:sz w:val="18"/>
                <w:szCs w:val="18"/>
              </w:rPr>
            </w:pPr>
          </w:p>
        </w:tc>
        <w:tc>
          <w:tcPr>
            <w:tcW w:w="2304" w:type="dxa"/>
            <w:tcBorders>
              <w:top w:val="single" w:color="auto" w:sz="4" w:space="0"/>
              <w:left w:val="single" w:color="auto" w:sz="4" w:space="0"/>
              <w:bottom w:val="single" w:color="auto" w:sz="4" w:space="0"/>
              <w:right w:val="single" w:color="auto" w:sz="4" w:space="0"/>
            </w:tcBorders>
            <w:noWrap w:val="0"/>
            <w:vAlign w:val="center"/>
          </w:tcPr>
          <w:p w14:paraId="469B7A6F">
            <w:pPr>
              <w:ind w:firstLine="360" w:firstLineChars="200"/>
              <w:rPr>
                <w:rFonts w:hint="eastAsia" w:ascii="宋体" w:hAnsi="宋体" w:eastAsia="宋体" w:cs="宋体"/>
                <w:sz w:val="18"/>
                <w:szCs w:val="18"/>
              </w:rPr>
            </w:pPr>
            <w:r>
              <w:rPr>
                <w:rFonts w:hint="eastAsia" w:ascii="宋体" w:hAnsi="宋体" w:eastAsia="宋体" w:cs="宋体"/>
                <w:sz w:val="18"/>
                <w:szCs w:val="18"/>
              </w:rPr>
              <w:t>钢丝绳</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37AA1128">
            <w:pP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6*37*15</w:t>
            </w:r>
          </w:p>
        </w:tc>
        <w:tc>
          <w:tcPr>
            <w:tcW w:w="1571" w:type="dxa"/>
            <w:tcBorders>
              <w:top w:val="single" w:color="auto" w:sz="4" w:space="0"/>
              <w:left w:val="single" w:color="auto" w:sz="4" w:space="0"/>
              <w:bottom w:val="single" w:color="auto" w:sz="4" w:space="0"/>
              <w:right w:val="single" w:color="auto" w:sz="4" w:space="0"/>
            </w:tcBorders>
            <w:noWrap w:val="0"/>
            <w:vAlign w:val="center"/>
          </w:tcPr>
          <w:p w14:paraId="6080EE4D">
            <w:pPr>
              <w:autoSpaceDE w:val="0"/>
              <w:autoSpaceDN w:val="0"/>
              <w:adjustRightInd w:val="0"/>
              <w:spacing w:line="360" w:lineRule="exact"/>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江苏狼山</w:t>
            </w:r>
          </w:p>
        </w:tc>
        <w:tc>
          <w:tcPr>
            <w:tcW w:w="1381" w:type="dxa"/>
            <w:vMerge w:val="continue"/>
            <w:tcBorders>
              <w:left w:val="single" w:color="auto" w:sz="4" w:space="0"/>
            </w:tcBorders>
            <w:noWrap w:val="0"/>
            <w:vAlign w:val="top"/>
          </w:tcPr>
          <w:p w14:paraId="73BD47A1">
            <w:pPr>
              <w:autoSpaceDE w:val="0"/>
              <w:autoSpaceDN w:val="0"/>
              <w:adjustRightInd w:val="0"/>
              <w:spacing w:line="360" w:lineRule="exact"/>
              <w:jc w:val="center"/>
              <w:rPr>
                <w:rFonts w:hint="eastAsia" w:ascii="宋体" w:hAnsi="宋体" w:eastAsia="宋体" w:cs="宋体"/>
                <w:sz w:val="18"/>
                <w:szCs w:val="18"/>
              </w:rPr>
            </w:pPr>
          </w:p>
        </w:tc>
      </w:tr>
      <w:tr w14:paraId="586D7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1ECDEF42">
            <w:pPr>
              <w:autoSpaceDE w:val="0"/>
              <w:autoSpaceDN w:val="0"/>
              <w:adjustRightInd w:val="0"/>
              <w:spacing w:line="360" w:lineRule="exact"/>
              <w:jc w:val="center"/>
              <w:rPr>
                <w:rFonts w:hint="eastAsia" w:ascii="宋体" w:hAnsi="宋体" w:eastAsia="宋体" w:cs="宋体"/>
                <w:sz w:val="18"/>
                <w:szCs w:val="18"/>
              </w:rPr>
            </w:pPr>
          </w:p>
        </w:tc>
        <w:tc>
          <w:tcPr>
            <w:tcW w:w="2304" w:type="dxa"/>
            <w:tcBorders>
              <w:top w:val="single" w:color="auto" w:sz="4" w:space="0"/>
              <w:left w:val="single" w:color="auto" w:sz="4" w:space="0"/>
              <w:bottom w:val="single" w:color="auto" w:sz="4" w:space="0"/>
              <w:right w:val="single" w:color="auto" w:sz="4" w:space="0"/>
            </w:tcBorders>
            <w:noWrap w:val="0"/>
            <w:vAlign w:val="center"/>
          </w:tcPr>
          <w:p w14:paraId="7C2F6664">
            <w:pPr>
              <w:rPr>
                <w:rFonts w:hint="eastAsia" w:ascii="宋体" w:hAnsi="宋体" w:eastAsia="宋体" w:cs="宋体"/>
                <w:sz w:val="18"/>
                <w:szCs w:val="18"/>
              </w:rPr>
            </w:pPr>
            <w:r>
              <w:rPr>
                <w:rFonts w:hint="eastAsia" w:ascii="宋体" w:hAnsi="宋体" w:eastAsia="宋体" w:cs="宋体"/>
                <w:sz w:val="18"/>
                <w:szCs w:val="18"/>
              </w:rPr>
              <w:t xml:space="preserve">     电器</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03E968BA">
            <w:pPr>
              <w:rPr>
                <w:rFonts w:hint="eastAsia" w:ascii="宋体" w:hAnsi="宋体" w:eastAsia="宋体" w:cs="宋体"/>
                <w:sz w:val="18"/>
                <w:szCs w:val="18"/>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14:paraId="070E401C">
            <w:pPr>
              <w:autoSpaceDE w:val="0"/>
              <w:autoSpaceDN w:val="0"/>
              <w:adjustRightInd w:val="0"/>
              <w:spacing w:line="360" w:lineRule="exact"/>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施耐德</w:t>
            </w:r>
          </w:p>
        </w:tc>
        <w:tc>
          <w:tcPr>
            <w:tcW w:w="1381" w:type="dxa"/>
            <w:vMerge w:val="continue"/>
            <w:tcBorders>
              <w:left w:val="single" w:color="auto" w:sz="4" w:space="0"/>
            </w:tcBorders>
            <w:noWrap w:val="0"/>
            <w:vAlign w:val="top"/>
          </w:tcPr>
          <w:p w14:paraId="01C4EEBA">
            <w:pPr>
              <w:autoSpaceDE w:val="0"/>
              <w:autoSpaceDN w:val="0"/>
              <w:adjustRightInd w:val="0"/>
              <w:spacing w:line="360" w:lineRule="exact"/>
              <w:jc w:val="center"/>
              <w:rPr>
                <w:rFonts w:hint="eastAsia" w:ascii="宋体" w:hAnsi="宋体" w:eastAsia="宋体" w:cs="宋体"/>
                <w:sz w:val="18"/>
                <w:szCs w:val="18"/>
              </w:rPr>
            </w:pPr>
          </w:p>
        </w:tc>
      </w:tr>
      <w:tr w14:paraId="6620C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648" w:type="dxa"/>
            <w:vMerge w:val="continue"/>
            <w:tcBorders>
              <w:left w:val="single" w:color="auto" w:sz="4" w:space="0"/>
              <w:right w:val="single" w:color="auto" w:sz="4" w:space="0"/>
            </w:tcBorders>
            <w:noWrap w:val="0"/>
            <w:vAlign w:val="center"/>
          </w:tcPr>
          <w:p w14:paraId="1CB8C99F">
            <w:pPr>
              <w:autoSpaceDE w:val="0"/>
              <w:autoSpaceDN w:val="0"/>
              <w:adjustRightInd w:val="0"/>
              <w:spacing w:line="360" w:lineRule="exact"/>
              <w:jc w:val="center"/>
              <w:rPr>
                <w:rFonts w:hint="eastAsia" w:ascii="宋体" w:hAnsi="宋体" w:eastAsia="宋体" w:cs="宋体"/>
                <w:sz w:val="18"/>
                <w:szCs w:val="18"/>
              </w:rPr>
            </w:pPr>
          </w:p>
        </w:tc>
        <w:tc>
          <w:tcPr>
            <w:tcW w:w="2304" w:type="dxa"/>
            <w:tcBorders>
              <w:top w:val="single" w:color="auto" w:sz="4" w:space="0"/>
              <w:left w:val="single" w:color="auto" w:sz="4" w:space="0"/>
              <w:bottom w:val="single" w:color="auto" w:sz="4" w:space="0"/>
              <w:right w:val="single" w:color="auto" w:sz="4" w:space="0"/>
            </w:tcBorders>
            <w:noWrap w:val="0"/>
            <w:vAlign w:val="center"/>
          </w:tcPr>
          <w:p w14:paraId="55D02F62">
            <w:pPr>
              <w:rPr>
                <w:rFonts w:hint="eastAsia" w:ascii="宋体" w:hAnsi="宋体" w:eastAsia="宋体" w:cs="宋体"/>
                <w:sz w:val="18"/>
                <w:szCs w:val="18"/>
              </w:rPr>
            </w:pPr>
            <w:r>
              <w:rPr>
                <w:rFonts w:hint="eastAsia" w:ascii="宋体" w:hAnsi="宋体" w:eastAsia="宋体" w:cs="宋体"/>
                <w:sz w:val="18"/>
                <w:szCs w:val="18"/>
              </w:rPr>
              <w:t xml:space="preserve"> 电源电缆（带钢丝）</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7737BF7F">
            <w:pPr>
              <w:rPr>
                <w:rFonts w:hint="eastAsia" w:ascii="宋体" w:hAnsi="宋体" w:eastAsia="宋体" w:cs="宋体"/>
                <w:sz w:val="18"/>
                <w:szCs w:val="18"/>
              </w:rPr>
            </w:pPr>
            <w:r>
              <w:rPr>
                <w:rFonts w:hint="eastAsia" w:ascii="宋体" w:hAnsi="宋体" w:eastAsia="宋体" w:cs="宋体"/>
                <w:sz w:val="18"/>
                <w:szCs w:val="18"/>
              </w:rPr>
              <w:t xml:space="preserve"> </w:t>
            </w:r>
          </w:p>
        </w:tc>
        <w:tc>
          <w:tcPr>
            <w:tcW w:w="1571" w:type="dxa"/>
            <w:tcBorders>
              <w:top w:val="single" w:color="auto" w:sz="4" w:space="0"/>
              <w:left w:val="single" w:color="auto" w:sz="4" w:space="0"/>
              <w:bottom w:val="single" w:color="auto" w:sz="4" w:space="0"/>
              <w:right w:val="single" w:color="auto" w:sz="4" w:space="0"/>
            </w:tcBorders>
            <w:noWrap w:val="0"/>
            <w:vAlign w:val="center"/>
          </w:tcPr>
          <w:p w14:paraId="4A68945F">
            <w:pPr>
              <w:autoSpaceDE w:val="0"/>
              <w:autoSpaceDN w:val="0"/>
              <w:adjustRightInd w:val="0"/>
              <w:spacing w:line="360" w:lineRule="exact"/>
              <w:jc w:val="center"/>
              <w:rPr>
                <w:rFonts w:hint="default" w:ascii="宋体" w:hAnsi="宋体" w:eastAsia="宋体" w:cs="宋体"/>
                <w:color w:val="FF0000"/>
                <w:sz w:val="18"/>
                <w:szCs w:val="18"/>
                <w:lang w:val="en-US" w:eastAsia="zh-CN"/>
              </w:rPr>
            </w:pPr>
            <w:r>
              <w:rPr>
                <w:rFonts w:hint="eastAsia" w:ascii="宋体" w:hAnsi="宋体" w:eastAsia="宋体" w:cs="宋体"/>
                <w:color w:val="auto"/>
                <w:sz w:val="18"/>
                <w:szCs w:val="18"/>
                <w:lang w:val="en-US" w:eastAsia="zh-CN"/>
              </w:rPr>
              <w:t>无锡中煤</w:t>
            </w:r>
          </w:p>
        </w:tc>
        <w:tc>
          <w:tcPr>
            <w:tcW w:w="1381" w:type="dxa"/>
            <w:vMerge w:val="continue"/>
            <w:tcBorders>
              <w:left w:val="single" w:color="auto" w:sz="4" w:space="0"/>
            </w:tcBorders>
            <w:noWrap w:val="0"/>
            <w:vAlign w:val="top"/>
          </w:tcPr>
          <w:p w14:paraId="043DE75A">
            <w:pPr>
              <w:autoSpaceDE w:val="0"/>
              <w:autoSpaceDN w:val="0"/>
              <w:adjustRightInd w:val="0"/>
              <w:spacing w:line="360" w:lineRule="exact"/>
              <w:jc w:val="center"/>
              <w:rPr>
                <w:rFonts w:hint="eastAsia" w:ascii="宋体" w:hAnsi="宋体" w:eastAsia="宋体" w:cs="宋体"/>
                <w:sz w:val="18"/>
                <w:szCs w:val="18"/>
              </w:rPr>
            </w:pPr>
          </w:p>
        </w:tc>
      </w:tr>
      <w:tr w14:paraId="62B54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left w:val="single" w:color="auto" w:sz="4" w:space="0"/>
              <w:right w:val="single" w:color="auto" w:sz="4" w:space="0"/>
            </w:tcBorders>
            <w:noWrap w:val="0"/>
            <w:vAlign w:val="center"/>
          </w:tcPr>
          <w:p w14:paraId="02E719B8">
            <w:pPr>
              <w:autoSpaceDE w:val="0"/>
              <w:autoSpaceDN w:val="0"/>
              <w:adjustRightInd w:val="0"/>
              <w:spacing w:line="360" w:lineRule="exact"/>
              <w:jc w:val="center"/>
              <w:rPr>
                <w:rFonts w:hint="eastAsia" w:ascii="宋体" w:hAnsi="宋体" w:eastAsia="宋体" w:cs="宋体"/>
                <w:color w:val="000000"/>
                <w:sz w:val="18"/>
                <w:szCs w:val="18"/>
              </w:rPr>
            </w:pPr>
          </w:p>
        </w:tc>
        <w:tc>
          <w:tcPr>
            <w:tcW w:w="2304" w:type="dxa"/>
            <w:tcBorders>
              <w:top w:val="single" w:color="auto" w:sz="4" w:space="0"/>
              <w:left w:val="single" w:color="auto" w:sz="4" w:space="0"/>
              <w:bottom w:val="single" w:color="auto" w:sz="4" w:space="0"/>
              <w:right w:val="single" w:color="auto" w:sz="4" w:space="0"/>
            </w:tcBorders>
            <w:noWrap w:val="0"/>
            <w:vAlign w:val="center"/>
          </w:tcPr>
          <w:p w14:paraId="4F7D80FD">
            <w:pPr>
              <w:rPr>
                <w:rFonts w:hint="eastAsia" w:ascii="宋体" w:hAnsi="宋体" w:eastAsia="宋体" w:cs="宋体"/>
                <w:color w:val="000000"/>
                <w:sz w:val="18"/>
                <w:szCs w:val="18"/>
              </w:rPr>
            </w:pPr>
            <w:r>
              <w:rPr>
                <w:rFonts w:hint="eastAsia" w:ascii="宋体" w:hAnsi="宋体" w:eastAsia="宋体" w:cs="宋体"/>
                <w:color w:val="000000"/>
                <w:sz w:val="18"/>
                <w:szCs w:val="18"/>
              </w:rPr>
              <w:t xml:space="preserve">   操作方式</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2E84FBD7">
            <w:pPr>
              <w:rPr>
                <w:rFonts w:hint="eastAsia" w:ascii="宋体" w:hAnsi="宋体" w:eastAsia="宋体" w:cs="宋体"/>
                <w:color w:val="000000"/>
                <w:sz w:val="18"/>
                <w:szCs w:val="18"/>
              </w:rPr>
            </w:pPr>
            <w:r>
              <w:rPr>
                <w:rFonts w:hint="eastAsia" w:ascii="宋体" w:hAnsi="宋体" w:eastAsia="宋体" w:cs="宋体"/>
                <w:color w:val="000000"/>
                <w:sz w:val="18"/>
                <w:szCs w:val="18"/>
              </w:rPr>
              <w:t xml:space="preserve">  遥控</w:t>
            </w:r>
          </w:p>
        </w:tc>
        <w:tc>
          <w:tcPr>
            <w:tcW w:w="1571" w:type="dxa"/>
            <w:tcBorders>
              <w:top w:val="single" w:color="auto" w:sz="4" w:space="0"/>
              <w:left w:val="single" w:color="auto" w:sz="4" w:space="0"/>
              <w:bottom w:val="single" w:color="auto" w:sz="4" w:space="0"/>
              <w:right w:val="single" w:color="auto" w:sz="4" w:space="0"/>
            </w:tcBorders>
            <w:noWrap w:val="0"/>
            <w:vAlign w:val="center"/>
          </w:tcPr>
          <w:p w14:paraId="2CF82E23">
            <w:pPr>
              <w:autoSpaceDE w:val="0"/>
              <w:autoSpaceDN w:val="0"/>
              <w:adjustRightInd w:val="0"/>
              <w:spacing w:line="360" w:lineRule="exact"/>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河南矿山</w:t>
            </w:r>
          </w:p>
        </w:tc>
        <w:tc>
          <w:tcPr>
            <w:tcW w:w="1381" w:type="dxa"/>
            <w:vMerge w:val="continue"/>
            <w:tcBorders>
              <w:left w:val="single" w:color="auto" w:sz="4" w:space="0"/>
            </w:tcBorders>
            <w:noWrap w:val="0"/>
            <w:vAlign w:val="top"/>
          </w:tcPr>
          <w:p w14:paraId="323285AA">
            <w:pPr>
              <w:autoSpaceDE w:val="0"/>
              <w:autoSpaceDN w:val="0"/>
              <w:adjustRightInd w:val="0"/>
              <w:spacing w:line="360" w:lineRule="exact"/>
              <w:jc w:val="center"/>
              <w:rPr>
                <w:rFonts w:hint="eastAsia" w:ascii="宋体" w:hAnsi="宋体" w:eastAsia="宋体" w:cs="宋体"/>
                <w:sz w:val="18"/>
                <w:szCs w:val="18"/>
              </w:rPr>
            </w:pPr>
          </w:p>
        </w:tc>
      </w:tr>
      <w:tr w14:paraId="20F90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restart"/>
            <w:tcBorders>
              <w:top w:val="single" w:color="auto" w:sz="4" w:space="0"/>
              <w:left w:val="single" w:color="auto" w:sz="4" w:space="0"/>
              <w:right w:val="single" w:color="auto" w:sz="4" w:space="0"/>
            </w:tcBorders>
            <w:noWrap w:val="0"/>
            <w:vAlign w:val="center"/>
          </w:tcPr>
          <w:p w14:paraId="56B6B85C">
            <w:pPr>
              <w:autoSpaceDE w:val="0"/>
              <w:autoSpaceDN w:val="0"/>
              <w:adjustRightInd w:val="0"/>
              <w:spacing w:line="360" w:lineRule="exact"/>
              <w:jc w:val="center"/>
              <w:rPr>
                <w:rFonts w:hint="eastAsia" w:ascii="宋体" w:hAnsi="宋体" w:eastAsia="宋体" w:cs="宋体"/>
                <w:sz w:val="18"/>
                <w:szCs w:val="18"/>
              </w:rPr>
            </w:pPr>
            <w:r>
              <w:rPr>
                <w:rFonts w:hint="eastAsia" w:ascii="宋体" w:hAnsi="宋体" w:eastAsia="宋体" w:cs="宋体"/>
                <w:color w:val="000000"/>
                <w:sz w:val="18"/>
                <w:szCs w:val="18"/>
              </w:rPr>
              <w:t xml:space="preserve">随机配置 </w:t>
            </w:r>
          </w:p>
        </w:tc>
        <w:tc>
          <w:tcPr>
            <w:tcW w:w="2304" w:type="dxa"/>
            <w:tcBorders>
              <w:top w:val="single" w:color="auto" w:sz="4" w:space="0"/>
              <w:left w:val="single" w:color="auto" w:sz="4" w:space="0"/>
              <w:bottom w:val="single" w:color="auto" w:sz="4" w:space="0"/>
              <w:right w:val="single" w:color="auto" w:sz="4" w:space="0"/>
            </w:tcBorders>
            <w:noWrap w:val="0"/>
            <w:vAlign w:val="center"/>
          </w:tcPr>
          <w:p w14:paraId="21CB8EC6">
            <w:pPr>
              <w:pStyle w:val="20"/>
              <w:spacing w:line="360" w:lineRule="exact"/>
              <w:ind w:firstLine="90" w:firstLineChars="50"/>
              <w:rPr>
                <w:rFonts w:hint="eastAsia" w:ascii="宋体" w:hAnsi="宋体" w:eastAsia="宋体" w:cs="宋体"/>
                <w:sz w:val="18"/>
                <w:szCs w:val="18"/>
              </w:rPr>
            </w:pPr>
            <w:r>
              <w:rPr>
                <w:rFonts w:hint="eastAsia" w:ascii="宋体" w:hAnsi="宋体" w:eastAsia="宋体" w:cs="宋体"/>
                <w:color w:val="000000"/>
                <w:sz w:val="18"/>
                <w:szCs w:val="18"/>
              </w:rPr>
              <w:t>随机配件</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2D9CA628">
            <w:pPr>
              <w:pStyle w:val="13"/>
              <w:spacing w:line="360" w:lineRule="exact"/>
              <w:jc w:val="center"/>
              <w:rPr>
                <w:rFonts w:hint="eastAsia" w:ascii="宋体" w:hAnsi="宋体" w:eastAsia="宋体" w:cs="宋体"/>
                <w:sz w:val="18"/>
                <w:szCs w:val="18"/>
              </w:rPr>
            </w:pPr>
            <w:r>
              <w:rPr>
                <w:rFonts w:hint="eastAsia" w:ascii="宋体" w:hAnsi="宋体" w:eastAsia="宋体" w:cs="宋体"/>
                <w:sz w:val="18"/>
                <w:szCs w:val="18"/>
              </w:rPr>
              <w:t xml:space="preserve">  </w:t>
            </w:r>
          </w:p>
        </w:tc>
        <w:tc>
          <w:tcPr>
            <w:tcW w:w="1571" w:type="dxa"/>
            <w:tcBorders>
              <w:top w:val="single" w:color="auto" w:sz="4" w:space="0"/>
              <w:left w:val="single" w:color="auto" w:sz="4" w:space="0"/>
              <w:bottom w:val="single" w:color="auto" w:sz="4" w:space="0"/>
              <w:right w:val="single" w:color="auto" w:sz="4" w:space="0"/>
            </w:tcBorders>
            <w:noWrap w:val="0"/>
            <w:vAlign w:val="center"/>
          </w:tcPr>
          <w:p w14:paraId="219A8039">
            <w:pPr>
              <w:autoSpaceDE w:val="0"/>
              <w:autoSpaceDN w:val="0"/>
              <w:adjustRightInd w:val="0"/>
              <w:spacing w:line="360" w:lineRule="exact"/>
              <w:jc w:val="center"/>
              <w:rPr>
                <w:rFonts w:hint="eastAsia" w:ascii="宋体" w:hAnsi="宋体" w:eastAsia="宋体" w:cs="宋体"/>
                <w:sz w:val="18"/>
                <w:szCs w:val="18"/>
              </w:rPr>
            </w:pPr>
          </w:p>
        </w:tc>
        <w:tc>
          <w:tcPr>
            <w:tcW w:w="1381" w:type="dxa"/>
            <w:tcBorders>
              <w:top w:val="single" w:color="auto" w:sz="4" w:space="0"/>
              <w:left w:val="single" w:color="auto" w:sz="4" w:space="0"/>
              <w:bottom w:val="single" w:color="auto" w:sz="4" w:space="0"/>
              <w:right w:val="single" w:color="auto" w:sz="4" w:space="0"/>
            </w:tcBorders>
            <w:noWrap w:val="0"/>
            <w:vAlign w:val="top"/>
          </w:tcPr>
          <w:p w14:paraId="052DC4A5">
            <w:pPr>
              <w:autoSpaceDE w:val="0"/>
              <w:autoSpaceDN w:val="0"/>
              <w:adjustRightInd w:val="0"/>
              <w:spacing w:line="360" w:lineRule="exact"/>
              <w:jc w:val="center"/>
              <w:rPr>
                <w:rFonts w:hint="eastAsia" w:ascii="宋体" w:hAnsi="宋体" w:eastAsia="宋体" w:cs="宋体"/>
                <w:sz w:val="18"/>
                <w:szCs w:val="18"/>
              </w:rPr>
            </w:pPr>
          </w:p>
        </w:tc>
      </w:tr>
      <w:tr w14:paraId="27302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top w:val="single" w:color="auto" w:sz="4" w:space="0"/>
              <w:left w:val="single" w:color="auto" w:sz="4" w:space="0"/>
              <w:right w:val="single" w:color="auto" w:sz="4" w:space="0"/>
            </w:tcBorders>
            <w:noWrap w:val="0"/>
            <w:vAlign w:val="center"/>
          </w:tcPr>
          <w:p w14:paraId="2C4E4783">
            <w:pPr>
              <w:autoSpaceDE w:val="0"/>
              <w:autoSpaceDN w:val="0"/>
              <w:adjustRightInd w:val="0"/>
              <w:spacing w:line="360" w:lineRule="exact"/>
              <w:jc w:val="center"/>
              <w:rPr>
                <w:rFonts w:hint="eastAsia" w:ascii="宋体" w:hAnsi="宋体" w:eastAsia="宋体" w:cs="宋体"/>
                <w:color w:val="000000"/>
                <w:sz w:val="18"/>
                <w:szCs w:val="18"/>
              </w:rPr>
            </w:pPr>
          </w:p>
        </w:tc>
        <w:tc>
          <w:tcPr>
            <w:tcW w:w="2304" w:type="dxa"/>
            <w:tcBorders>
              <w:top w:val="single" w:color="auto" w:sz="4" w:space="0"/>
              <w:left w:val="single" w:color="auto" w:sz="4" w:space="0"/>
              <w:bottom w:val="single" w:color="auto" w:sz="4" w:space="0"/>
              <w:right w:val="single" w:color="auto" w:sz="4" w:space="0"/>
            </w:tcBorders>
            <w:noWrap w:val="0"/>
            <w:vAlign w:val="center"/>
          </w:tcPr>
          <w:p w14:paraId="785A0D97">
            <w:pPr>
              <w:pStyle w:val="20"/>
              <w:spacing w:line="360" w:lineRule="exact"/>
              <w:ind w:firstLine="90" w:firstLineChars="50"/>
              <w:rPr>
                <w:rFonts w:hint="eastAsia" w:ascii="宋体" w:hAnsi="宋体" w:eastAsia="宋体" w:cs="宋体"/>
                <w:color w:val="000000"/>
                <w:sz w:val="18"/>
                <w:szCs w:val="18"/>
              </w:rPr>
            </w:pPr>
            <w:r>
              <w:rPr>
                <w:rFonts w:hint="eastAsia" w:ascii="宋体" w:hAnsi="宋体" w:eastAsia="宋体" w:cs="宋体"/>
                <w:color w:val="000000"/>
                <w:sz w:val="18"/>
                <w:szCs w:val="18"/>
              </w:rPr>
              <w:t>随机器具</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10202C2D">
            <w:pPr>
              <w:pStyle w:val="13"/>
              <w:spacing w:line="360" w:lineRule="exact"/>
              <w:jc w:val="center"/>
              <w:rPr>
                <w:rFonts w:hint="eastAsia" w:ascii="宋体" w:hAnsi="宋体" w:eastAsia="宋体" w:cs="宋体"/>
                <w:sz w:val="18"/>
                <w:szCs w:val="18"/>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14:paraId="4ECBDAA4">
            <w:pPr>
              <w:autoSpaceDE w:val="0"/>
              <w:autoSpaceDN w:val="0"/>
              <w:adjustRightInd w:val="0"/>
              <w:spacing w:line="360" w:lineRule="exact"/>
              <w:jc w:val="center"/>
              <w:rPr>
                <w:rFonts w:hint="eastAsia" w:ascii="宋体" w:hAnsi="宋体" w:eastAsia="宋体" w:cs="宋体"/>
                <w:sz w:val="18"/>
                <w:szCs w:val="18"/>
              </w:rPr>
            </w:pPr>
          </w:p>
        </w:tc>
        <w:tc>
          <w:tcPr>
            <w:tcW w:w="1381" w:type="dxa"/>
            <w:tcBorders>
              <w:top w:val="single" w:color="auto" w:sz="4" w:space="0"/>
              <w:left w:val="single" w:color="auto" w:sz="4" w:space="0"/>
              <w:bottom w:val="single" w:color="auto" w:sz="4" w:space="0"/>
              <w:right w:val="single" w:color="auto" w:sz="4" w:space="0"/>
            </w:tcBorders>
            <w:noWrap w:val="0"/>
            <w:vAlign w:val="top"/>
          </w:tcPr>
          <w:p w14:paraId="24205C06">
            <w:pPr>
              <w:autoSpaceDE w:val="0"/>
              <w:autoSpaceDN w:val="0"/>
              <w:adjustRightInd w:val="0"/>
              <w:spacing w:line="360" w:lineRule="exact"/>
              <w:jc w:val="center"/>
              <w:rPr>
                <w:rFonts w:hint="eastAsia" w:ascii="宋体" w:hAnsi="宋体" w:eastAsia="宋体" w:cs="宋体"/>
                <w:sz w:val="18"/>
                <w:szCs w:val="18"/>
              </w:rPr>
            </w:pPr>
          </w:p>
        </w:tc>
      </w:tr>
      <w:tr w14:paraId="44A61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14:paraId="48B256DD">
            <w:pPr>
              <w:autoSpaceDE w:val="0"/>
              <w:autoSpaceDN w:val="0"/>
              <w:adjustRightInd w:val="0"/>
              <w:spacing w:line="360" w:lineRule="exact"/>
              <w:jc w:val="center"/>
              <w:rPr>
                <w:rFonts w:hint="eastAsia" w:ascii="宋体" w:hAnsi="宋体" w:eastAsia="宋体" w:cs="宋体"/>
                <w:color w:val="000000"/>
                <w:sz w:val="18"/>
                <w:szCs w:val="18"/>
              </w:rPr>
            </w:pPr>
          </w:p>
        </w:tc>
        <w:tc>
          <w:tcPr>
            <w:tcW w:w="2304" w:type="dxa"/>
            <w:tcBorders>
              <w:top w:val="single" w:color="auto" w:sz="4" w:space="0"/>
              <w:left w:val="single" w:color="auto" w:sz="4" w:space="0"/>
              <w:bottom w:val="single" w:color="auto" w:sz="4" w:space="0"/>
              <w:right w:val="single" w:color="auto" w:sz="4" w:space="0"/>
            </w:tcBorders>
            <w:noWrap w:val="0"/>
            <w:vAlign w:val="center"/>
          </w:tcPr>
          <w:p w14:paraId="0EC6429D">
            <w:pPr>
              <w:pStyle w:val="20"/>
              <w:spacing w:line="360" w:lineRule="exact"/>
              <w:ind w:firstLine="90" w:firstLineChars="50"/>
              <w:rPr>
                <w:rFonts w:hint="eastAsia" w:ascii="宋体" w:hAnsi="宋体" w:eastAsia="宋体" w:cs="宋体"/>
                <w:color w:val="000000"/>
                <w:sz w:val="18"/>
                <w:szCs w:val="18"/>
              </w:rPr>
            </w:pPr>
            <w:r>
              <w:rPr>
                <w:rFonts w:hint="eastAsia" w:ascii="宋体" w:hAnsi="宋体" w:eastAsia="宋体" w:cs="宋体"/>
                <w:color w:val="000000"/>
                <w:sz w:val="18"/>
                <w:szCs w:val="18"/>
              </w:rPr>
              <w:t>其它</w:t>
            </w:r>
          </w:p>
        </w:tc>
        <w:tc>
          <w:tcPr>
            <w:tcW w:w="3456" w:type="dxa"/>
            <w:tcBorders>
              <w:top w:val="single" w:color="auto" w:sz="4" w:space="0"/>
              <w:left w:val="single" w:color="auto" w:sz="4" w:space="0"/>
              <w:bottom w:val="single" w:color="auto" w:sz="4" w:space="0"/>
              <w:right w:val="single" w:color="auto" w:sz="4" w:space="0"/>
            </w:tcBorders>
            <w:noWrap w:val="0"/>
            <w:vAlign w:val="center"/>
          </w:tcPr>
          <w:p w14:paraId="3F543122">
            <w:pPr>
              <w:pStyle w:val="13"/>
              <w:spacing w:line="360" w:lineRule="exact"/>
              <w:jc w:val="center"/>
              <w:rPr>
                <w:rFonts w:hint="eastAsia" w:ascii="宋体" w:hAnsi="宋体" w:eastAsia="宋体" w:cs="宋体"/>
                <w:sz w:val="18"/>
                <w:szCs w:val="18"/>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14:paraId="105EB8BA">
            <w:pPr>
              <w:autoSpaceDE w:val="0"/>
              <w:autoSpaceDN w:val="0"/>
              <w:adjustRightInd w:val="0"/>
              <w:spacing w:line="360" w:lineRule="exact"/>
              <w:jc w:val="center"/>
              <w:rPr>
                <w:rFonts w:hint="eastAsia" w:ascii="宋体" w:hAnsi="宋体" w:eastAsia="宋体" w:cs="宋体"/>
                <w:sz w:val="18"/>
                <w:szCs w:val="18"/>
              </w:rPr>
            </w:pPr>
          </w:p>
        </w:tc>
        <w:tc>
          <w:tcPr>
            <w:tcW w:w="1381" w:type="dxa"/>
            <w:tcBorders>
              <w:top w:val="single" w:color="auto" w:sz="4" w:space="0"/>
              <w:left w:val="single" w:color="auto" w:sz="4" w:space="0"/>
              <w:bottom w:val="single" w:color="auto" w:sz="4" w:space="0"/>
              <w:right w:val="single" w:color="auto" w:sz="4" w:space="0"/>
            </w:tcBorders>
            <w:noWrap w:val="0"/>
            <w:vAlign w:val="top"/>
          </w:tcPr>
          <w:p w14:paraId="167909EB">
            <w:pPr>
              <w:autoSpaceDE w:val="0"/>
              <w:autoSpaceDN w:val="0"/>
              <w:adjustRightInd w:val="0"/>
              <w:spacing w:line="360" w:lineRule="exact"/>
              <w:jc w:val="center"/>
              <w:rPr>
                <w:rFonts w:hint="eastAsia" w:ascii="宋体" w:hAnsi="宋体" w:eastAsia="宋体" w:cs="宋体"/>
                <w:sz w:val="18"/>
                <w:szCs w:val="18"/>
              </w:rPr>
            </w:pPr>
          </w:p>
        </w:tc>
      </w:tr>
    </w:tbl>
    <w:p w14:paraId="11580134">
      <w:pPr>
        <w:pageBreakBefore w:val="0"/>
        <w:numPr>
          <w:ilvl w:val="0"/>
          <w:numId w:val="0"/>
        </w:numPr>
        <w:kinsoku/>
        <w:wordWrap/>
        <w:overflowPunct/>
        <w:topLinePunct w:val="0"/>
        <w:autoSpaceDE/>
        <w:autoSpaceDN/>
        <w:bidi w:val="0"/>
        <w:adjustRightInd/>
        <w:snapToGrid/>
        <w:spacing w:line="400" w:lineRule="exact"/>
        <w:textAlignment w:val="auto"/>
        <w:rPr>
          <w:rFonts w:hint="eastAsia" w:ascii="仿宋" w:hAnsi="仿宋" w:eastAsia="仿宋" w:cs="仿宋"/>
          <w:color w:val="auto"/>
          <w:szCs w:val="21"/>
          <w:highlight w:val="none"/>
        </w:rPr>
      </w:pPr>
      <w:r>
        <w:rPr>
          <w:rFonts w:hint="eastAsia" w:ascii="宋体" w:hAnsi="宋体"/>
          <w:b/>
          <w:color w:val="FF0000"/>
          <w:sz w:val="24"/>
        </w:rPr>
        <w:t xml:space="preserve"> </w:t>
      </w:r>
      <w:r>
        <w:rPr>
          <w:rFonts w:hint="eastAsia" w:ascii="宋体" w:hAnsi="宋体"/>
          <w:b/>
          <w:color w:val="FF0000"/>
          <w:sz w:val="18"/>
          <w:szCs w:val="18"/>
        </w:rPr>
        <w:t xml:space="preserve">   </w:t>
      </w:r>
    </w:p>
    <w:p w14:paraId="64F606A3">
      <w:pPr>
        <w:pageBreakBefore w:val="0"/>
        <w:numPr>
          <w:ilvl w:val="0"/>
          <w:numId w:val="4"/>
        </w:numPr>
        <w:kinsoku/>
        <w:wordWrap/>
        <w:overflowPunct/>
        <w:topLinePunct w:val="0"/>
        <w:autoSpaceDE/>
        <w:autoSpaceDN/>
        <w:bidi w:val="0"/>
        <w:adjustRightInd/>
        <w:snapToGrid/>
        <w:spacing w:line="400" w:lineRule="exact"/>
        <w:textAlignment w:val="auto"/>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图  纸</w:t>
      </w:r>
      <w:bookmarkEnd w:id="126"/>
      <w:bookmarkEnd w:id="127"/>
      <w:bookmarkEnd w:id="128"/>
      <w:bookmarkEnd w:id="129"/>
      <w:bookmarkEnd w:id="130"/>
      <w:bookmarkEnd w:id="131"/>
      <w:bookmarkEnd w:id="132"/>
      <w:bookmarkEnd w:id="133"/>
      <w:bookmarkEnd w:id="134"/>
      <w:bookmarkEnd w:id="135"/>
      <w:r>
        <w:rPr>
          <w:rFonts w:hint="eastAsia" w:ascii="仿宋" w:hAnsi="仿宋" w:eastAsia="仿宋" w:cs="仿宋"/>
          <w:b/>
          <w:bCs/>
          <w:color w:val="auto"/>
          <w:szCs w:val="21"/>
          <w:highlight w:val="none"/>
        </w:rPr>
        <w:t>：</w:t>
      </w:r>
      <w:r>
        <w:rPr>
          <w:rFonts w:hint="eastAsia" w:ascii="仿宋" w:hAnsi="仿宋" w:eastAsia="仿宋" w:cs="仿宋"/>
          <w:color w:val="auto"/>
          <w:szCs w:val="21"/>
          <w:highlight w:val="none"/>
        </w:rPr>
        <w:t>另附</w:t>
      </w:r>
      <w:r>
        <w:rPr>
          <w:rFonts w:hint="eastAsia" w:ascii="仿宋" w:hAnsi="仿宋" w:eastAsia="仿宋" w:cs="仿宋"/>
          <w:color w:val="auto"/>
          <w:szCs w:val="21"/>
          <w:highlight w:val="none"/>
          <w:lang w:eastAsia="zh-CN"/>
        </w:rPr>
        <w:t>。</w:t>
      </w:r>
    </w:p>
    <w:p w14:paraId="61133CEF">
      <w:pPr>
        <w:pageBreakBefore w:val="0"/>
        <w:kinsoku/>
        <w:wordWrap/>
        <w:overflowPunct/>
        <w:topLinePunct w:val="0"/>
        <w:autoSpaceDE/>
        <w:autoSpaceDN/>
        <w:bidi w:val="0"/>
        <w:adjustRightInd/>
        <w:snapToGrid/>
        <w:spacing w:line="400" w:lineRule="exact"/>
        <w:textAlignment w:val="auto"/>
        <w:rPr>
          <w:rFonts w:hint="eastAsia" w:ascii="仿宋" w:hAnsi="仿宋" w:eastAsia="仿宋" w:cs="仿宋"/>
          <w:b/>
          <w:bCs/>
          <w:color w:val="auto"/>
          <w:highlight w:val="none"/>
        </w:rPr>
      </w:pPr>
      <w:r>
        <w:rPr>
          <w:rFonts w:hint="eastAsia" w:ascii="仿宋" w:hAnsi="仿宋" w:eastAsia="仿宋" w:cs="仿宋"/>
          <w:b/>
          <w:bCs/>
          <w:color w:val="auto"/>
          <w:szCs w:val="21"/>
          <w:highlight w:val="none"/>
        </w:rPr>
        <w:t>（四）</w:t>
      </w:r>
      <w:bookmarkStart w:id="136" w:name="_Toc152042574"/>
      <w:bookmarkStart w:id="137" w:name="_Toc247085870"/>
      <w:bookmarkStart w:id="138" w:name="_Toc481760122"/>
      <w:bookmarkStart w:id="139" w:name="_Toc58340088"/>
      <w:bookmarkStart w:id="140" w:name="_Toc246996353"/>
      <w:bookmarkStart w:id="141" w:name="_Toc246997096"/>
      <w:bookmarkStart w:id="142" w:name="_Toc179632804"/>
      <w:bookmarkStart w:id="143" w:name="_Toc144974854"/>
      <w:bookmarkStart w:id="144" w:name="_Toc152045785"/>
      <w:r>
        <w:rPr>
          <w:rFonts w:hint="eastAsia" w:ascii="仿宋" w:hAnsi="仿宋" w:eastAsia="仿宋" w:cs="仿宋"/>
          <w:b/>
          <w:bCs/>
          <w:color w:val="auto"/>
          <w:highlight w:val="none"/>
        </w:rPr>
        <w:t>技术标准和供货要求</w:t>
      </w:r>
      <w:bookmarkEnd w:id="136"/>
      <w:bookmarkEnd w:id="137"/>
      <w:bookmarkEnd w:id="138"/>
      <w:bookmarkEnd w:id="139"/>
      <w:bookmarkEnd w:id="140"/>
      <w:bookmarkEnd w:id="141"/>
      <w:bookmarkEnd w:id="142"/>
      <w:bookmarkEnd w:id="143"/>
      <w:bookmarkEnd w:id="144"/>
    </w:p>
    <w:p w14:paraId="20F94739">
      <w:pPr>
        <w:pageBreakBefore w:val="0"/>
        <w:kinsoku/>
        <w:wordWrap/>
        <w:overflowPunct/>
        <w:topLinePunct w:val="0"/>
        <w:autoSpaceDE/>
        <w:autoSpaceDN/>
        <w:bidi w:val="0"/>
        <w:adjustRightInd/>
        <w:snapToGrid/>
        <w:spacing w:line="400" w:lineRule="exact"/>
        <w:textAlignment w:val="auto"/>
        <w:rPr>
          <w:rFonts w:hint="eastAsia" w:ascii="仿宋" w:hAnsi="仿宋" w:eastAsia="仿宋" w:cs="仿宋"/>
          <w:b/>
          <w:color w:val="auto"/>
          <w:szCs w:val="21"/>
          <w:highlight w:val="none"/>
          <w:u w:val="single"/>
        </w:rPr>
      </w:pPr>
      <w:r>
        <w:rPr>
          <w:rFonts w:hint="eastAsia" w:ascii="仿宋" w:hAnsi="仿宋" w:eastAsia="仿宋" w:cs="仿宋"/>
          <w:b/>
          <w:color w:val="auto"/>
          <w:szCs w:val="21"/>
          <w:highlight w:val="none"/>
        </w:rPr>
        <w:t>1、</w:t>
      </w:r>
      <w:r>
        <w:rPr>
          <w:rFonts w:hint="eastAsia" w:ascii="仿宋" w:hAnsi="仿宋" w:eastAsia="仿宋" w:cs="仿宋"/>
          <w:b/>
          <w:color w:val="auto"/>
          <w:szCs w:val="21"/>
          <w:highlight w:val="none"/>
          <w:lang w:val="en-US" w:eastAsia="zh-CN"/>
        </w:rPr>
        <w:t>质量</w:t>
      </w:r>
      <w:r>
        <w:rPr>
          <w:rFonts w:hint="eastAsia" w:ascii="仿宋" w:hAnsi="仿宋" w:eastAsia="仿宋" w:cs="仿宋"/>
          <w:b/>
          <w:color w:val="auto"/>
          <w:szCs w:val="21"/>
          <w:highlight w:val="none"/>
        </w:rPr>
        <w:t>标准及要求：</w:t>
      </w:r>
      <w:r>
        <w:rPr>
          <w:rFonts w:hint="eastAsia" w:ascii="仿宋" w:hAnsi="仿宋" w:eastAsia="仿宋" w:cs="仿宋"/>
          <w:b/>
          <w:color w:val="auto"/>
          <w:szCs w:val="21"/>
          <w:highlight w:val="none"/>
          <w:u w:val="single"/>
        </w:rPr>
        <w:t xml:space="preserve"> </w:t>
      </w:r>
      <w:r>
        <w:rPr>
          <w:rFonts w:hint="eastAsia" w:ascii="仿宋" w:hAnsi="仿宋" w:eastAsia="仿宋" w:cs="仿宋"/>
          <w:b/>
          <w:color w:val="auto"/>
          <w:szCs w:val="21"/>
          <w:highlight w:val="none"/>
          <w:u w:val="single"/>
          <w:lang w:val="en-US" w:eastAsia="zh-CN"/>
        </w:rPr>
        <w:t>见《材料采购合同》第三条。</w:t>
      </w:r>
    </w:p>
    <w:p w14:paraId="34A155B1">
      <w:pPr>
        <w:pageBreakBefore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2、</w:t>
      </w:r>
      <w:r>
        <w:rPr>
          <w:rFonts w:hint="eastAsia" w:ascii="仿宋" w:hAnsi="仿宋" w:eastAsia="仿宋" w:cs="仿宋"/>
          <w:color w:val="auto"/>
          <w:szCs w:val="21"/>
          <w:highlight w:val="none"/>
          <w:lang w:val="en-US" w:eastAsia="zh-CN"/>
        </w:rPr>
        <w:t>货物</w:t>
      </w:r>
      <w:r>
        <w:rPr>
          <w:rFonts w:hint="eastAsia" w:ascii="仿宋" w:hAnsi="仿宋" w:eastAsia="仿宋" w:cs="仿宋"/>
          <w:color w:val="auto"/>
          <w:szCs w:val="21"/>
          <w:highlight w:val="none"/>
        </w:rPr>
        <w:t>单价为</w:t>
      </w:r>
      <w:r>
        <w:rPr>
          <w:rFonts w:hint="eastAsia" w:ascii="仿宋" w:hAnsi="仿宋" w:eastAsia="仿宋" w:cs="仿宋"/>
          <w:color w:val="auto"/>
          <w:szCs w:val="21"/>
          <w:highlight w:val="none"/>
          <w:lang w:val="en-US" w:eastAsia="zh-CN"/>
        </w:rPr>
        <w:t>投标人</w:t>
      </w:r>
      <w:r>
        <w:rPr>
          <w:rFonts w:hint="eastAsia" w:ascii="仿宋" w:hAnsi="仿宋" w:eastAsia="仿宋" w:cs="仿宋"/>
          <w:color w:val="auto"/>
          <w:szCs w:val="21"/>
          <w:highlight w:val="none"/>
        </w:rPr>
        <w:t>将</w:t>
      </w:r>
      <w:r>
        <w:rPr>
          <w:rFonts w:hint="eastAsia" w:ascii="仿宋" w:hAnsi="仿宋" w:eastAsia="仿宋" w:cs="仿宋"/>
          <w:color w:val="auto"/>
          <w:szCs w:val="21"/>
          <w:highlight w:val="none"/>
          <w:lang w:eastAsia="zh-CN"/>
        </w:rPr>
        <w:t>货物</w:t>
      </w:r>
      <w:r>
        <w:rPr>
          <w:rFonts w:hint="eastAsia" w:ascii="仿宋" w:hAnsi="仿宋" w:eastAsia="仿宋" w:cs="仿宋"/>
          <w:color w:val="auto"/>
          <w:szCs w:val="21"/>
          <w:highlight w:val="none"/>
        </w:rPr>
        <w:t>运送至</w:t>
      </w:r>
      <w:r>
        <w:rPr>
          <w:rFonts w:hint="eastAsia" w:ascii="仿宋" w:hAnsi="仿宋" w:eastAsia="仿宋" w:cs="仿宋"/>
          <w:color w:val="auto"/>
          <w:szCs w:val="21"/>
          <w:highlight w:val="none"/>
          <w:lang w:val="en-US" w:eastAsia="zh-CN"/>
        </w:rPr>
        <w:t>招标人</w:t>
      </w:r>
      <w:r>
        <w:rPr>
          <w:rFonts w:hint="eastAsia" w:ascii="仿宋" w:hAnsi="仿宋" w:eastAsia="仿宋" w:cs="仿宋"/>
          <w:color w:val="auto"/>
          <w:szCs w:val="21"/>
          <w:highlight w:val="none"/>
        </w:rPr>
        <w:t>指定地点的综合价格，包括但不限于乙方成本、利润、税费、专利许可使用费、售后服务等为履行本合同义务所需的一切费用及承担的风险。</w:t>
      </w:r>
    </w:p>
    <w:p w14:paraId="6C0E4A40">
      <w:pPr>
        <w:pageBreakBefore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Cs w:val="21"/>
          <w:highlight w:val="none"/>
          <w:u w:val="dash"/>
        </w:rPr>
      </w:pPr>
      <w:r>
        <w:rPr>
          <w:rFonts w:hint="eastAsia" w:ascii="仿宋" w:hAnsi="仿宋" w:eastAsia="仿宋" w:cs="仿宋"/>
          <w:color w:val="auto"/>
          <w:szCs w:val="21"/>
          <w:highlight w:val="none"/>
        </w:rPr>
        <w:t>3、产品价格变动风险承担：</w:t>
      </w:r>
      <w:r>
        <w:rPr>
          <w:rFonts w:hint="eastAsia" w:ascii="仿宋" w:hAnsi="仿宋" w:eastAsia="仿宋" w:cs="仿宋"/>
          <w:color w:val="auto"/>
          <w:szCs w:val="21"/>
          <w:highlight w:val="none"/>
          <w:u w:val="single"/>
        </w:rPr>
        <w:t xml:space="preserve">  </w:t>
      </w:r>
      <w:r>
        <w:rPr>
          <w:rFonts w:hint="eastAsia" w:ascii="仿宋" w:hAnsi="仿宋" w:eastAsia="仿宋" w:cs="仿宋"/>
          <w:b/>
          <w:color w:val="auto"/>
          <w:szCs w:val="21"/>
          <w:highlight w:val="none"/>
          <w:u w:val="single"/>
          <w:lang w:val="en-US" w:eastAsia="zh-CN"/>
        </w:rPr>
        <w:t>见《材料采购合同》第九条</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w:t>
      </w:r>
    </w:p>
    <w:p w14:paraId="3F4BA641">
      <w:pPr>
        <w:pageBreakBefore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szCs w:val="21"/>
          <w:highlight w:val="none"/>
        </w:rPr>
      </w:pPr>
      <w:r>
        <w:rPr>
          <w:rFonts w:hint="eastAsia" w:ascii="仿宋" w:hAnsi="仿宋" w:eastAsia="仿宋" w:cs="仿宋"/>
          <w:color w:val="auto"/>
          <w:szCs w:val="21"/>
          <w:highlight w:val="none"/>
        </w:rPr>
        <w:t>4、招标采购清单数量为估算数量，以</w:t>
      </w:r>
      <w:r>
        <w:rPr>
          <w:rFonts w:hint="eastAsia" w:ascii="仿宋" w:hAnsi="仿宋" w:eastAsia="仿宋" w:cs="仿宋"/>
          <w:color w:val="auto"/>
          <w:szCs w:val="21"/>
          <w:highlight w:val="none"/>
          <w:lang w:val="en-US" w:eastAsia="zh-CN"/>
        </w:rPr>
        <w:t>现场</w:t>
      </w:r>
      <w:r>
        <w:rPr>
          <w:rFonts w:hint="eastAsia" w:ascii="仿宋" w:hAnsi="仿宋" w:eastAsia="仿宋" w:cs="仿宋"/>
          <w:color w:val="auto"/>
          <w:szCs w:val="21"/>
          <w:highlight w:val="none"/>
        </w:rPr>
        <w:t>实际</w:t>
      </w:r>
      <w:r>
        <w:rPr>
          <w:rFonts w:hint="eastAsia" w:ascii="仿宋" w:hAnsi="仿宋" w:eastAsia="仿宋" w:cs="仿宋"/>
          <w:color w:val="auto"/>
          <w:szCs w:val="21"/>
          <w:highlight w:val="none"/>
          <w:lang w:val="en-US" w:eastAsia="zh-CN"/>
        </w:rPr>
        <w:t>验收</w:t>
      </w:r>
      <w:r>
        <w:rPr>
          <w:rFonts w:hint="eastAsia" w:ascii="仿宋" w:hAnsi="仿宋" w:eastAsia="仿宋" w:cs="仿宋"/>
          <w:color w:val="auto"/>
          <w:szCs w:val="21"/>
          <w:highlight w:val="none"/>
        </w:rPr>
        <w:t>数量为准。</w:t>
      </w:r>
    </w:p>
    <w:p w14:paraId="3BDD306A">
      <w:pPr>
        <w:pageBreakBefore w:val="0"/>
        <w:kinsoku/>
        <w:wordWrap/>
        <w:overflowPunct/>
        <w:topLinePunct w:val="0"/>
        <w:autoSpaceDE/>
        <w:autoSpaceDN/>
        <w:bidi w:val="0"/>
        <w:adjustRightInd/>
        <w:snapToGrid/>
        <w:spacing w:line="400" w:lineRule="exact"/>
        <w:textAlignment w:val="auto"/>
        <w:rPr>
          <w:rFonts w:hint="eastAsia" w:ascii="仿宋" w:hAnsi="仿宋" w:eastAsia="仿宋" w:cs="仿宋"/>
          <w:color w:val="auto"/>
          <w:highlight w:val="none"/>
        </w:rPr>
      </w:pPr>
      <w:r>
        <w:rPr>
          <w:rFonts w:hint="eastAsia" w:ascii="仿宋" w:hAnsi="仿宋" w:eastAsia="仿宋" w:cs="仿宋"/>
          <w:color w:val="auto"/>
          <w:szCs w:val="21"/>
          <w:highlight w:val="none"/>
        </w:rPr>
        <w:t>5、其它要求：</w:t>
      </w:r>
      <w:r>
        <w:rPr>
          <w:rFonts w:hint="eastAsia" w:ascii="仿宋" w:hAnsi="仿宋" w:eastAsia="仿宋" w:cs="仿宋"/>
          <w:color w:val="auto"/>
          <w:szCs w:val="21"/>
          <w:highlight w:val="none"/>
          <w:u w:val="single"/>
        </w:rPr>
        <w:t xml:space="preserve">  </w:t>
      </w:r>
      <w:permStart w:id="52" w:edGrp="everyone"/>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lang w:val="en-US" w:eastAsia="zh-CN"/>
        </w:rPr>
        <w:t>投</w:t>
      </w:r>
      <w:r>
        <w:rPr>
          <w:rFonts w:hint="eastAsia" w:ascii="仿宋" w:hAnsi="仿宋" w:eastAsia="仿宋" w:cs="仿宋"/>
          <w:color w:val="000000"/>
          <w:szCs w:val="21"/>
          <w:highlight w:val="none"/>
          <w:u w:val="single"/>
          <w:lang w:eastAsia="zh-CN"/>
        </w:rPr>
        <w:t>标人承诺材料是合格产品，并保证产品可以通过验收</w:t>
      </w:r>
      <w:r>
        <w:rPr>
          <w:rFonts w:hint="eastAsia" w:ascii="仿宋" w:hAnsi="仿宋" w:eastAsia="仿宋" w:cs="仿宋"/>
          <w:color w:val="auto"/>
          <w:szCs w:val="21"/>
          <w:highlight w:val="none"/>
          <w:u w:val="single"/>
        </w:rPr>
        <w:t xml:space="preserve"> </w:t>
      </w:r>
      <w:permEnd w:id="52"/>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w:t>
      </w:r>
      <w:bookmarkStart w:id="145" w:name="_Toc246996354"/>
      <w:bookmarkStart w:id="146" w:name="_Toc179632806"/>
      <w:bookmarkStart w:id="147" w:name="_Toc152042575"/>
      <w:bookmarkStart w:id="148" w:name="_Toc247085872"/>
      <w:bookmarkStart w:id="149" w:name="_Toc152045786"/>
      <w:bookmarkStart w:id="150" w:name="_Toc144974855"/>
      <w:bookmarkStart w:id="151" w:name="_Toc246997097"/>
      <w:bookmarkStart w:id="152" w:name="_Toc481760123"/>
    </w:p>
    <w:p w14:paraId="6DF6B54F">
      <w:pPr>
        <w:pStyle w:val="2"/>
        <w:pageBreakBefore w:val="0"/>
        <w:kinsoku/>
        <w:wordWrap/>
        <w:overflowPunct/>
        <w:topLinePunct w:val="0"/>
        <w:autoSpaceDE/>
        <w:autoSpaceDN/>
        <w:bidi w:val="0"/>
        <w:adjustRightInd/>
        <w:snapToGrid/>
        <w:spacing w:before="0" w:beforeLines="0" w:after="0" w:afterLines="0" w:line="400" w:lineRule="exact"/>
        <w:jc w:val="center"/>
        <w:textAlignment w:val="auto"/>
        <w:rPr>
          <w:rFonts w:hint="eastAsia" w:ascii="仿宋" w:hAnsi="仿宋" w:eastAsia="仿宋" w:cs="仿宋"/>
          <w:color w:val="auto"/>
          <w:highlight w:val="none"/>
        </w:rPr>
      </w:pPr>
    </w:p>
    <w:p w14:paraId="5A27E56D">
      <w:pPr>
        <w:rPr>
          <w:rFonts w:hint="eastAsia" w:ascii="仿宋" w:hAnsi="仿宋" w:eastAsia="仿宋" w:cs="仿宋"/>
          <w:color w:val="auto"/>
          <w:highlight w:val="none"/>
        </w:rPr>
      </w:pPr>
    </w:p>
    <w:p w14:paraId="4859CFCB">
      <w:pPr>
        <w:pStyle w:val="9"/>
        <w:rPr>
          <w:rFonts w:hint="eastAsia" w:ascii="仿宋" w:hAnsi="仿宋" w:eastAsia="仿宋" w:cs="仿宋"/>
          <w:color w:val="auto"/>
          <w:highlight w:val="none"/>
        </w:rPr>
      </w:pPr>
    </w:p>
    <w:p w14:paraId="6B8D4ADC">
      <w:pPr>
        <w:rPr>
          <w:rFonts w:hint="eastAsia" w:ascii="仿宋" w:hAnsi="仿宋" w:eastAsia="仿宋" w:cs="仿宋"/>
          <w:color w:val="auto"/>
          <w:highlight w:val="none"/>
        </w:rPr>
      </w:pPr>
    </w:p>
    <w:p w14:paraId="757C9E87">
      <w:pPr>
        <w:pStyle w:val="9"/>
        <w:rPr>
          <w:rFonts w:hint="eastAsia" w:ascii="仿宋" w:hAnsi="仿宋" w:eastAsia="仿宋" w:cs="仿宋"/>
          <w:color w:val="auto"/>
          <w:highlight w:val="none"/>
        </w:rPr>
      </w:pPr>
    </w:p>
    <w:p w14:paraId="6E50CC81">
      <w:pPr>
        <w:rPr>
          <w:rFonts w:hint="eastAsia" w:ascii="仿宋" w:hAnsi="仿宋" w:eastAsia="仿宋" w:cs="仿宋"/>
          <w:color w:val="auto"/>
          <w:highlight w:val="none"/>
        </w:rPr>
      </w:pPr>
    </w:p>
    <w:p w14:paraId="17C953AF">
      <w:pPr>
        <w:rPr>
          <w:rFonts w:hint="eastAsia" w:ascii="仿宋" w:hAnsi="仿宋" w:eastAsia="仿宋" w:cs="仿宋"/>
          <w:color w:val="auto"/>
          <w:highlight w:val="none"/>
        </w:rPr>
      </w:pPr>
    </w:p>
    <w:p w14:paraId="23B023D5">
      <w:pPr>
        <w:rPr>
          <w:rFonts w:hint="eastAsia" w:ascii="仿宋" w:hAnsi="仿宋" w:eastAsia="仿宋" w:cs="仿宋"/>
          <w:color w:val="auto"/>
          <w:highlight w:val="none"/>
        </w:rPr>
      </w:pPr>
    </w:p>
    <w:p w14:paraId="42A8C241">
      <w:pPr>
        <w:rPr>
          <w:rFonts w:hint="eastAsia" w:ascii="仿宋" w:hAnsi="仿宋" w:eastAsia="仿宋" w:cs="仿宋"/>
          <w:color w:val="auto"/>
          <w:highlight w:val="none"/>
        </w:rPr>
      </w:pPr>
    </w:p>
    <w:p w14:paraId="100DB1EE">
      <w:pPr>
        <w:rPr>
          <w:rFonts w:hint="eastAsia" w:ascii="仿宋" w:hAnsi="仿宋" w:eastAsia="仿宋" w:cs="仿宋"/>
          <w:color w:val="auto"/>
          <w:highlight w:val="none"/>
        </w:rPr>
      </w:pPr>
    </w:p>
    <w:p w14:paraId="75086B37">
      <w:pPr>
        <w:rPr>
          <w:rFonts w:hint="eastAsia" w:ascii="仿宋" w:hAnsi="仿宋" w:eastAsia="仿宋" w:cs="仿宋"/>
          <w:color w:val="auto"/>
          <w:highlight w:val="none"/>
        </w:rPr>
      </w:pPr>
    </w:p>
    <w:p w14:paraId="616C9D11">
      <w:pPr>
        <w:rPr>
          <w:rFonts w:hint="eastAsia" w:ascii="仿宋" w:hAnsi="仿宋" w:eastAsia="仿宋" w:cs="仿宋"/>
          <w:color w:val="auto"/>
          <w:highlight w:val="none"/>
        </w:rPr>
      </w:pPr>
    </w:p>
    <w:p w14:paraId="0F87ED21">
      <w:pPr>
        <w:rPr>
          <w:rFonts w:hint="eastAsia" w:ascii="仿宋" w:hAnsi="仿宋" w:eastAsia="仿宋" w:cs="仿宋"/>
          <w:color w:val="auto"/>
          <w:highlight w:val="none"/>
        </w:rPr>
      </w:pPr>
    </w:p>
    <w:p w14:paraId="2F51C508">
      <w:pPr>
        <w:rPr>
          <w:rFonts w:hint="eastAsia" w:ascii="仿宋" w:hAnsi="仿宋" w:eastAsia="仿宋" w:cs="仿宋"/>
          <w:color w:val="auto"/>
          <w:highlight w:val="none"/>
        </w:rPr>
      </w:pPr>
    </w:p>
    <w:p w14:paraId="4BEAD3CC">
      <w:pPr>
        <w:rPr>
          <w:rFonts w:hint="eastAsia" w:ascii="仿宋" w:hAnsi="仿宋" w:eastAsia="仿宋" w:cs="仿宋"/>
          <w:color w:val="auto"/>
          <w:highlight w:val="none"/>
        </w:rPr>
      </w:pPr>
    </w:p>
    <w:p w14:paraId="3B82618F">
      <w:pPr>
        <w:rPr>
          <w:rFonts w:hint="eastAsia" w:ascii="仿宋" w:hAnsi="仿宋" w:eastAsia="仿宋" w:cs="仿宋"/>
          <w:color w:val="auto"/>
          <w:highlight w:val="none"/>
        </w:rPr>
      </w:pPr>
    </w:p>
    <w:p w14:paraId="3E5E1AED">
      <w:pPr>
        <w:rPr>
          <w:rFonts w:hint="eastAsia" w:ascii="仿宋" w:hAnsi="仿宋" w:eastAsia="仿宋" w:cs="仿宋"/>
          <w:color w:val="auto"/>
          <w:highlight w:val="none"/>
        </w:rPr>
      </w:pPr>
    </w:p>
    <w:p w14:paraId="562673B4">
      <w:pPr>
        <w:rPr>
          <w:rFonts w:hint="eastAsia" w:ascii="仿宋" w:hAnsi="仿宋" w:eastAsia="仿宋" w:cs="仿宋"/>
          <w:color w:val="auto"/>
          <w:highlight w:val="none"/>
        </w:rPr>
      </w:pPr>
    </w:p>
    <w:p w14:paraId="7B81F829">
      <w:pPr>
        <w:rPr>
          <w:rFonts w:hint="eastAsia" w:ascii="仿宋" w:hAnsi="仿宋" w:eastAsia="仿宋" w:cs="仿宋"/>
          <w:color w:val="auto"/>
          <w:highlight w:val="none"/>
        </w:rPr>
      </w:pPr>
    </w:p>
    <w:p w14:paraId="7240CEEE">
      <w:pPr>
        <w:rPr>
          <w:rFonts w:hint="eastAsia" w:ascii="仿宋" w:hAnsi="仿宋" w:eastAsia="仿宋" w:cs="仿宋"/>
          <w:color w:val="auto"/>
          <w:highlight w:val="none"/>
        </w:rPr>
      </w:pPr>
    </w:p>
    <w:p w14:paraId="5F8C6F36">
      <w:pPr>
        <w:rPr>
          <w:rFonts w:hint="eastAsia" w:ascii="仿宋" w:hAnsi="仿宋" w:eastAsia="仿宋" w:cs="仿宋"/>
          <w:color w:val="auto"/>
          <w:highlight w:val="none"/>
        </w:rPr>
      </w:pPr>
    </w:p>
    <w:p w14:paraId="5C3E75C2">
      <w:pPr>
        <w:rPr>
          <w:rFonts w:hint="eastAsia" w:ascii="仿宋" w:hAnsi="仿宋" w:eastAsia="仿宋" w:cs="仿宋"/>
          <w:color w:val="auto"/>
          <w:highlight w:val="none"/>
        </w:rPr>
      </w:pPr>
    </w:p>
    <w:p w14:paraId="69F15E41">
      <w:pPr>
        <w:rPr>
          <w:rFonts w:hint="eastAsia" w:ascii="仿宋" w:hAnsi="仿宋" w:eastAsia="仿宋" w:cs="仿宋"/>
          <w:color w:val="auto"/>
          <w:highlight w:val="none"/>
        </w:rPr>
      </w:pPr>
    </w:p>
    <w:p w14:paraId="03E82CFF">
      <w:pPr>
        <w:rPr>
          <w:rFonts w:hint="eastAsia" w:ascii="仿宋" w:hAnsi="仿宋" w:eastAsia="仿宋" w:cs="仿宋"/>
          <w:color w:val="auto"/>
          <w:highlight w:val="none"/>
        </w:rPr>
      </w:pPr>
    </w:p>
    <w:p w14:paraId="0FF66C1E">
      <w:pPr>
        <w:pStyle w:val="9"/>
        <w:rPr>
          <w:rFonts w:hint="eastAsia"/>
          <w:color w:val="auto"/>
        </w:rPr>
      </w:pPr>
    </w:p>
    <w:p w14:paraId="6314886D">
      <w:pPr>
        <w:rPr>
          <w:rFonts w:hint="eastAsia"/>
          <w:color w:val="auto"/>
        </w:rPr>
      </w:pPr>
    </w:p>
    <w:p w14:paraId="789CF1B7">
      <w:pPr>
        <w:rPr>
          <w:rFonts w:hint="eastAsia" w:ascii="仿宋" w:hAnsi="仿宋" w:eastAsia="仿宋" w:cs="仿宋"/>
          <w:color w:val="auto"/>
          <w:highlight w:val="none"/>
        </w:rPr>
      </w:pPr>
    </w:p>
    <w:p w14:paraId="72FAE8D8">
      <w:pPr>
        <w:pStyle w:val="9"/>
        <w:rPr>
          <w:rFonts w:hint="eastAsia" w:ascii="仿宋" w:hAnsi="仿宋" w:eastAsia="仿宋" w:cs="仿宋"/>
          <w:color w:val="auto"/>
          <w:highlight w:val="none"/>
        </w:rPr>
      </w:pPr>
    </w:p>
    <w:p w14:paraId="3835E1D8">
      <w:pPr>
        <w:rPr>
          <w:rFonts w:hint="eastAsia" w:ascii="仿宋" w:hAnsi="仿宋" w:eastAsia="仿宋" w:cs="仿宋"/>
          <w:color w:val="auto"/>
          <w:highlight w:val="none"/>
        </w:rPr>
      </w:pPr>
    </w:p>
    <w:p w14:paraId="663DA825">
      <w:pPr>
        <w:pStyle w:val="9"/>
        <w:rPr>
          <w:rFonts w:hint="eastAsia"/>
          <w:color w:val="auto"/>
        </w:rPr>
      </w:pPr>
      <w:permStart w:id="53" w:edGrp="everyone"/>
    </w:p>
    <w:p w14:paraId="54261E25">
      <w:pPr>
        <w:pStyle w:val="2"/>
        <w:keepLines w:val="0"/>
        <w:widowControl/>
        <w:spacing w:before="0" w:after="0" w:line="240" w:lineRule="auto"/>
        <w:jc w:val="center"/>
        <w:rPr>
          <w:rFonts w:hint="eastAsia" w:ascii="Times New Roman" w:hAnsi="Times New Roman" w:eastAsia="宋体" w:cs="Times New Roman"/>
          <w:b/>
          <w:bCs/>
          <w:color w:val="auto"/>
          <w:kern w:val="44"/>
          <w:sz w:val="32"/>
          <w:szCs w:val="32"/>
          <w:lang w:val="en-US" w:eastAsia="zh-CN" w:bidi="ar-SA"/>
        </w:rPr>
      </w:pPr>
      <w:r>
        <w:rPr>
          <w:rFonts w:hint="eastAsia" w:ascii="Times New Roman" w:hAnsi="Times New Roman" w:eastAsia="宋体" w:cs="Times New Roman"/>
          <w:b/>
          <w:bCs/>
          <w:color w:val="auto"/>
          <w:kern w:val="44"/>
          <w:sz w:val="32"/>
          <w:szCs w:val="32"/>
          <w:lang w:val="en-US" w:eastAsia="zh-CN" w:bidi="ar-SA"/>
        </w:rPr>
        <w:t xml:space="preserve"> </w:t>
      </w:r>
      <w:bookmarkStart w:id="153" w:name="_Toc9702"/>
      <w:r>
        <w:rPr>
          <w:rFonts w:hint="eastAsia" w:ascii="Times New Roman" w:hAnsi="Times New Roman" w:eastAsia="宋体" w:cs="Times New Roman"/>
          <w:b/>
          <w:bCs/>
          <w:color w:val="auto"/>
          <w:kern w:val="44"/>
          <w:sz w:val="32"/>
          <w:szCs w:val="32"/>
          <w:lang w:val="en-US" w:eastAsia="zh-CN" w:bidi="ar-SA"/>
        </w:rPr>
        <w:t>第六章  投标文件格式</w:t>
      </w:r>
      <w:bookmarkEnd w:id="153"/>
    </w:p>
    <w:p w14:paraId="4F28BA07">
      <w:pPr>
        <w:jc w:val="both"/>
        <w:rPr>
          <w:rFonts w:hint="eastAsia" w:ascii="仿宋" w:hAnsi="仿宋" w:eastAsia="仿宋" w:cs="仿宋"/>
          <w:b/>
          <w:color w:val="auto"/>
          <w:sz w:val="32"/>
          <w:szCs w:val="32"/>
          <w:highlight w:val="none"/>
        </w:rPr>
      </w:pPr>
    </w:p>
    <w:p w14:paraId="4D7D47B2">
      <w:pPr>
        <w:tabs>
          <w:tab w:val="left" w:pos="2580"/>
          <w:tab w:val="left" w:pos="5940"/>
        </w:tabs>
        <w:autoSpaceDE w:val="0"/>
        <w:autoSpaceDN w:val="0"/>
        <w:adjustRightInd w:val="0"/>
        <w:snapToGrid w:val="0"/>
        <w:spacing w:line="360" w:lineRule="auto"/>
        <w:jc w:val="left"/>
        <w:rPr>
          <w:rFonts w:hint="eastAsia" w:ascii="仿宋" w:hAnsi="仿宋" w:eastAsia="仿宋" w:cs="仿宋"/>
          <w:color w:val="auto"/>
          <w:kern w:val="0"/>
          <w:sz w:val="28"/>
          <w:highlight w:val="none"/>
          <w:u w:val="single"/>
        </w:rPr>
      </w:pPr>
    </w:p>
    <w:p w14:paraId="0C615E64">
      <w:pPr>
        <w:tabs>
          <w:tab w:val="left" w:pos="3395"/>
          <w:tab w:val="left" w:pos="5940"/>
        </w:tabs>
        <w:autoSpaceDE w:val="0"/>
        <w:autoSpaceDN w:val="0"/>
        <w:adjustRightInd w:val="0"/>
        <w:snapToGrid w:val="0"/>
        <w:spacing w:line="360" w:lineRule="auto"/>
        <w:jc w:val="left"/>
        <w:rPr>
          <w:rFonts w:hint="eastAsia" w:ascii="仿宋" w:hAnsi="仿宋" w:eastAsia="仿宋" w:cs="仿宋"/>
          <w:b/>
          <w:bCs/>
          <w:color w:val="auto"/>
          <w:kern w:val="0"/>
          <w:sz w:val="28"/>
          <w:szCs w:val="22"/>
          <w:highlight w:val="none"/>
          <w:lang w:eastAsia="zh-CN"/>
        </w:rPr>
      </w:pPr>
      <w:r>
        <w:rPr>
          <w:rFonts w:hint="eastAsia" w:ascii="仿宋" w:hAnsi="仿宋" w:eastAsia="仿宋" w:cs="仿宋"/>
          <w:b/>
          <w:bCs/>
          <w:color w:val="auto"/>
          <w:kern w:val="0"/>
          <w:sz w:val="28"/>
          <w:szCs w:val="22"/>
          <w:highlight w:val="none"/>
          <w:u w:val="single"/>
        </w:rPr>
        <w:tab/>
      </w:r>
      <w:r>
        <w:rPr>
          <w:rFonts w:hint="eastAsia" w:ascii="仿宋" w:hAnsi="仿宋" w:eastAsia="仿宋" w:cs="仿宋"/>
          <w:b/>
          <w:bCs/>
          <w:color w:val="auto"/>
          <w:w w:val="99"/>
          <w:kern w:val="0"/>
          <w:sz w:val="28"/>
          <w:szCs w:val="22"/>
          <w:highlight w:val="none"/>
        </w:rPr>
        <w:t>（项目名称</w:t>
      </w:r>
      <w:r>
        <w:rPr>
          <w:rFonts w:hint="eastAsia" w:ascii="仿宋" w:hAnsi="仿宋" w:eastAsia="仿宋" w:cs="仿宋"/>
          <w:b/>
          <w:bCs/>
          <w:color w:val="auto"/>
          <w:spacing w:val="1"/>
          <w:w w:val="99"/>
          <w:kern w:val="0"/>
          <w:sz w:val="28"/>
          <w:szCs w:val="22"/>
          <w:highlight w:val="none"/>
        </w:rPr>
        <w:t>）</w:t>
      </w:r>
      <w:r>
        <w:rPr>
          <w:rFonts w:hint="eastAsia" w:ascii="仿宋" w:hAnsi="仿宋" w:eastAsia="仿宋" w:cs="仿宋"/>
          <w:b/>
          <w:bCs/>
          <w:color w:val="auto"/>
          <w:w w:val="198"/>
          <w:kern w:val="0"/>
          <w:sz w:val="28"/>
          <w:szCs w:val="22"/>
          <w:highlight w:val="none"/>
          <w:u w:val="single"/>
        </w:rPr>
        <w:t xml:space="preserve">   </w:t>
      </w:r>
      <w:r>
        <w:rPr>
          <w:rFonts w:hint="eastAsia" w:ascii="仿宋" w:hAnsi="仿宋" w:eastAsia="仿宋" w:cs="仿宋"/>
          <w:b/>
          <w:bCs/>
          <w:color w:val="auto"/>
          <w:kern w:val="0"/>
          <w:sz w:val="28"/>
          <w:szCs w:val="22"/>
          <w:highlight w:val="none"/>
          <w:u w:val="single"/>
        </w:rPr>
        <w:t xml:space="preserve">       </w:t>
      </w:r>
      <w:r>
        <w:rPr>
          <w:rFonts w:hint="eastAsia" w:ascii="仿宋" w:hAnsi="仿宋" w:eastAsia="仿宋" w:cs="仿宋"/>
          <w:b/>
          <w:bCs/>
          <w:color w:val="auto"/>
          <w:kern w:val="0"/>
          <w:sz w:val="28"/>
          <w:szCs w:val="22"/>
          <w:highlight w:val="none"/>
          <w:lang w:val="en-US" w:eastAsia="zh-CN"/>
        </w:rPr>
        <w:t>招标</w:t>
      </w:r>
    </w:p>
    <w:p w14:paraId="298E7E10">
      <w:pPr>
        <w:tabs>
          <w:tab w:val="left" w:pos="3600"/>
          <w:tab w:val="left" w:pos="4480"/>
          <w:tab w:val="left" w:pos="5360"/>
        </w:tabs>
        <w:autoSpaceDE w:val="0"/>
        <w:autoSpaceDN w:val="0"/>
        <w:adjustRightInd w:val="0"/>
        <w:snapToGrid w:val="0"/>
        <w:spacing w:line="360" w:lineRule="auto"/>
        <w:jc w:val="center"/>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招标编号：</w:t>
      </w:r>
    </w:p>
    <w:p w14:paraId="729CAB19">
      <w:pPr>
        <w:tabs>
          <w:tab w:val="left" w:pos="3600"/>
          <w:tab w:val="left" w:pos="4480"/>
          <w:tab w:val="left" w:pos="5360"/>
        </w:tabs>
        <w:autoSpaceDE w:val="0"/>
        <w:autoSpaceDN w:val="0"/>
        <w:adjustRightInd w:val="0"/>
        <w:snapToGrid w:val="0"/>
        <w:spacing w:line="360" w:lineRule="auto"/>
        <w:jc w:val="left"/>
        <w:rPr>
          <w:rFonts w:hint="eastAsia" w:ascii="仿宋" w:hAnsi="仿宋" w:eastAsia="仿宋" w:cs="仿宋"/>
          <w:color w:val="auto"/>
          <w:kern w:val="0"/>
          <w:sz w:val="44"/>
          <w:szCs w:val="22"/>
          <w:highlight w:val="none"/>
        </w:rPr>
      </w:pPr>
    </w:p>
    <w:p w14:paraId="6465AD21">
      <w:pPr>
        <w:tabs>
          <w:tab w:val="left" w:pos="3600"/>
          <w:tab w:val="left" w:pos="4480"/>
          <w:tab w:val="left" w:pos="5360"/>
        </w:tabs>
        <w:autoSpaceDE w:val="0"/>
        <w:autoSpaceDN w:val="0"/>
        <w:adjustRightInd w:val="0"/>
        <w:snapToGrid w:val="0"/>
        <w:spacing w:line="360" w:lineRule="auto"/>
        <w:jc w:val="center"/>
        <w:rPr>
          <w:rFonts w:hint="eastAsia" w:ascii="仿宋" w:hAnsi="仿宋" w:eastAsia="仿宋" w:cs="仿宋"/>
          <w:color w:val="auto"/>
          <w:kern w:val="0"/>
          <w:sz w:val="84"/>
          <w:szCs w:val="22"/>
          <w:highlight w:val="none"/>
        </w:rPr>
      </w:pPr>
      <w:r>
        <w:rPr>
          <w:rFonts w:hint="eastAsia" w:ascii="仿宋" w:hAnsi="仿宋" w:eastAsia="仿宋" w:cs="仿宋"/>
          <w:color w:val="auto"/>
          <w:kern w:val="0"/>
          <w:sz w:val="84"/>
          <w:szCs w:val="22"/>
          <w:highlight w:val="none"/>
        </w:rPr>
        <w:t>投  标  文  件</w:t>
      </w:r>
    </w:p>
    <w:p w14:paraId="16BB5C4F">
      <w:pPr>
        <w:autoSpaceDE w:val="0"/>
        <w:autoSpaceDN w:val="0"/>
        <w:adjustRightInd w:val="0"/>
        <w:snapToGrid w:val="0"/>
        <w:spacing w:line="360" w:lineRule="auto"/>
        <w:jc w:val="left"/>
        <w:rPr>
          <w:rFonts w:hint="eastAsia" w:ascii="仿宋" w:hAnsi="仿宋" w:eastAsia="仿宋" w:cs="仿宋"/>
          <w:color w:val="auto"/>
          <w:kern w:val="0"/>
          <w:sz w:val="16"/>
          <w:szCs w:val="22"/>
          <w:highlight w:val="none"/>
        </w:rPr>
      </w:pPr>
    </w:p>
    <w:p w14:paraId="38265E9F">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6F05F414">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454AECC1">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08DCE3F8">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7987858C">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3538BACF">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78612F38">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5616DD62">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738B8614">
      <w:pPr>
        <w:tabs>
          <w:tab w:val="left" w:pos="6080"/>
          <w:tab w:val="left" w:pos="6640"/>
        </w:tabs>
        <w:autoSpaceDE w:val="0"/>
        <w:autoSpaceDN w:val="0"/>
        <w:adjustRightInd w:val="0"/>
        <w:snapToGrid w:val="0"/>
        <w:spacing w:line="360" w:lineRule="auto"/>
        <w:ind w:firstLine="818" w:firstLineChars="294"/>
        <w:rPr>
          <w:rFonts w:hint="eastAsia" w:ascii="仿宋" w:hAnsi="仿宋" w:eastAsia="仿宋" w:cs="仿宋"/>
          <w:b/>
          <w:bCs/>
          <w:color w:val="auto"/>
          <w:w w:val="99"/>
          <w:kern w:val="0"/>
          <w:sz w:val="28"/>
          <w:szCs w:val="22"/>
          <w:highlight w:val="none"/>
        </w:rPr>
      </w:pPr>
      <w:r>
        <w:rPr>
          <w:rFonts w:hint="eastAsia" w:ascii="仿宋" w:hAnsi="仿宋" w:eastAsia="仿宋" w:cs="仿宋"/>
          <w:b/>
          <w:bCs/>
          <w:color w:val="auto"/>
          <w:w w:val="99"/>
          <w:kern w:val="0"/>
          <w:sz w:val="28"/>
          <w:szCs w:val="22"/>
          <w:highlight w:val="none"/>
        </w:rPr>
        <w:t>投标人</w:t>
      </w:r>
      <w:r>
        <w:rPr>
          <w:rFonts w:hint="eastAsia" w:ascii="仿宋" w:hAnsi="仿宋" w:eastAsia="仿宋" w:cs="仿宋"/>
          <w:b/>
          <w:bCs/>
          <w:color w:val="auto"/>
          <w:spacing w:val="1"/>
          <w:w w:val="99"/>
          <w:kern w:val="0"/>
          <w:sz w:val="28"/>
          <w:szCs w:val="22"/>
          <w:highlight w:val="none"/>
        </w:rPr>
        <w:t>：</w:t>
      </w:r>
      <w:r>
        <w:rPr>
          <w:rFonts w:hint="eastAsia" w:ascii="仿宋" w:hAnsi="仿宋" w:eastAsia="仿宋" w:cs="仿宋"/>
          <w:b/>
          <w:bCs/>
          <w:color w:val="auto"/>
          <w:w w:val="198"/>
          <w:kern w:val="0"/>
          <w:sz w:val="28"/>
          <w:szCs w:val="22"/>
          <w:highlight w:val="none"/>
          <w:u w:val="single"/>
        </w:rPr>
        <w:t xml:space="preserve"> 　　　　 　   　</w:t>
      </w:r>
      <w:r>
        <w:rPr>
          <w:rFonts w:hint="eastAsia" w:ascii="仿宋" w:hAnsi="仿宋" w:eastAsia="仿宋" w:cs="仿宋"/>
          <w:b/>
          <w:bCs/>
          <w:color w:val="auto"/>
          <w:w w:val="99"/>
          <w:kern w:val="0"/>
          <w:sz w:val="28"/>
          <w:szCs w:val="22"/>
          <w:highlight w:val="none"/>
        </w:rPr>
        <w:t>（盖单位公章）</w:t>
      </w:r>
    </w:p>
    <w:p w14:paraId="7D33B5E7">
      <w:pPr>
        <w:tabs>
          <w:tab w:val="left" w:pos="6080"/>
          <w:tab w:val="left" w:pos="6640"/>
        </w:tabs>
        <w:autoSpaceDE w:val="0"/>
        <w:autoSpaceDN w:val="0"/>
        <w:adjustRightInd w:val="0"/>
        <w:snapToGrid w:val="0"/>
        <w:spacing w:line="360" w:lineRule="auto"/>
        <w:jc w:val="center"/>
        <w:rPr>
          <w:rFonts w:hint="eastAsia" w:ascii="仿宋" w:hAnsi="仿宋" w:eastAsia="仿宋" w:cs="仿宋"/>
          <w:b/>
          <w:bCs/>
          <w:color w:val="auto"/>
          <w:w w:val="99"/>
          <w:kern w:val="0"/>
          <w:sz w:val="28"/>
          <w:szCs w:val="22"/>
          <w:highlight w:val="none"/>
        </w:rPr>
      </w:pPr>
    </w:p>
    <w:p w14:paraId="103F6AB2">
      <w:pPr>
        <w:tabs>
          <w:tab w:val="left" w:pos="6080"/>
          <w:tab w:val="left" w:pos="6640"/>
        </w:tabs>
        <w:autoSpaceDE w:val="0"/>
        <w:autoSpaceDN w:val="0"/>
        <w:adjustRightInd w:val="0"/>
        <w:snapToGrid w:val="0"/>
        <w:spacing w:line="360" w:lineRule="auto"/>
        <w:jc w:val="center"/>
        <w:rPr>
          <w:rFonts w:hint="eastAsia" w:ascii="仿宋" w:hAnsi="仿宋" w:eastAsia="仿宋" w:cs="仿宋"/>
          <w:b/>
          <w:bCs/>
          <w:color w:val="auto"/>
          <w:kern w:val="0"/>
          <w:sz w:val="28"/>
          <w:szCs w:val="22"/>
          <w:highlight w:val="none"/>
        </w:rPr>
      </w:pPr>
      <w:r>
        <w:rPr>
          <w:rFonts w:hint="eastAsia" w:ascii="仿宋" w:hAnsi="仿宋" w:eastAsia="仿宋" w:cs="仿宋"/>
          <w:b/>
          <w:bCs/>
          <w:color w:val="auto"/>
          <w:w w:val="99"/>
          <w:kern w:val="0"/>
          <w:sz w:val="28"/>
          <w:szCs w:val="22"/>
          <w:highlight w:val="none"/>
        </w:rPr>
        <w:t>法定代表人</w:t>
      </w:r>
      <w:r>
        <w:rPr>
          <w:rFonts w:hint="eastAsia" w:ascii="仿宋" w:hAnsi="仿宋" w:eastAsia="仿宋" w:cs="仿宋"/>
          <w:b/>
          <w:bCs/>
          <w:color w:val="auto"/>
          <w:w w:val="99"/>
          <w:kern w:val="0"/>
          <w:sz w:val="28"/>
          <w:szCs w:val="22"/>
          <w:highlight w:val="none"/>
          <w:lang w:val="en-US" w:eastAsia="zh-CN"/>
        </w:rPr>
        <w:t>或委托代理人</w:t>
      </w:r>
      <w:r>
        <w:rPr>
          <w:rFonts w:hint="eastAsia" w:ascii="仿宋" w:hAnsi="仿宋" w:eastAsia="仿宋" w:cs="仿宋"/>
          <w:b/>
          <w:bCs/>
          <w:color w:val="auto"/>
          <w:w w:val="99"/>
          <w:kern w:val="0"/>
          <w:sz w:val="28"/>
          <w:szCs w:val="22"/>
          <w:highlight w:val="none"/>
        </w:rPr>
        <w:t>：</w:t>
      </w:r>
      <w:r>
        <w:rPr>
          <w:rFonts w:hint="eastAsia" w:ascii="仿宋" w:hAnsi="仿宋" w:eastAsia="仿宋" w:cs="仿宋"/>
          <w:b/>
          <w:bCs/>
          <w:color w:val="auto"/>
          <w:w w:val="198"/>
          <w:kern w:val="0"/>
          <w:sz w:val="28"/>
          <w:szCs w:val="22"/>
          <w:highlight w:val="none"/>
          <w:u w:val="single"/>
        </w:rPr>
        <w:t xml:space="preserve"> 　　 　</w:t>
      </w:r>
      <w:r>
        <w:rPr>
          <w:rFonts w:hint="eastAsia" w:ascii="仿宋" w:hAnsi="仿宋" w:eastAsia="仿宋" w:cs="仿宋"/>
          <w:b/>
          <w:bCs/>
          <w:color w:val="auto"/>
          <w:w w:val="99"/>
          <w:kern w:val="0"/>
          <w:sz w:val="28"/>
          <w:szCs w:val="22"/>
          <w:highlight w:val="none"/>
        </w:rPr>
        <w:t>（签字或盖章）</w:t>
      </w:r>
    </w:p>
    <w:p w14:paraId="3A4706E5">
      <w:pPr>
        <w:tabs>
          <w:tab w:val="left" w:pos="3280"/>
          <w:tab w:val="left" w:pos="4680"/>
          <w:tab w:val="left" w:pos="6080"/>
        </w:tabs>
        <w:autoSpaceDE w:val="0"/>
        <w:autoSpaceDN w:val="0"/>
        <w:adjustRightInd w:val="0"/>
        <w:snapToGrid w:val="0"/>
        <w:spacing w:line="360" w:lineRule="auto"/>
        <w:jc w:val="center"/>
        <w:rPr>
          <w:rFonts w:hint="eastAsia" w:ascii="仿宋" w:hAnsi="仿宋" w:eastAsia="仿宋" w:cs="仿宋"/>
          <w:b/>
          <w:bCs/>
          <w:color w:val="auto"/>
          <w:w w:val="99"/>
          <w:kern w:val="0"/>
          <w:sz w:val="28"/>
          <w:szCs w:val="22"/>
          <w:highlight w:val="none"/>
          <w:u w:val="single"/>
        </w:rPr>
      </w:pPr>
    </w:p>
    <w:p w14:paraId="1BD080A3">
      <w:pPr>
        <w:tabs>
          <w:tab w:val="left" w:pos="3280"/>
          <w:tab w:val="left" w:pos="4680"/>
          <w:tab w:val="left" w:pos="6080"/>
        </w:tabs>
        <w:autoSpaceDE w:val="0"/>
        <w:autoSpaceDN w:val="0"/>
        <w:adjustRightInd w:val="0"/>
        <w:snapToGrid w:val="0"/>
        <w:spacing w:line="360" w:lineRule="auto"/>
        <w:jc w:val="center"/>
        <w:rPr>
          <w:rFonts w:hint="eastAsia" w:ascii="仿宋" w:hAnsi="仿宋" w:eastAsia="仿宋" w:cs="仿宋"/>
          <w:b/>
          <w:bCs/>
          <w:color w:val="auto"/>
          <w:kern w:val="0"/>
          <w:sz w:val="28"/>
          <w:szCs w:val="22"/>
          <w:highlight w:val="none"/>
        </w:rPr>
      </w:pPr>
      <w:r>
        <w:rPr>
          <w:rFonts w:hint="eastAsia" w:ascii="仿宋" w:hAnsi="仿宋" w:eastAsia="仿宋" w:cs="仿宋"/>
          <w:b/>
          <w:bCs/>
          <w:color w:val="auto"/>
          <w:w w:val="99"/>
          <w:kern w:val="0"/>
          <w:sz w:val="28"/>
          <w:szCs w:val="22"/>
          <w:highlight w:val="none"/>
          <w:u w:val="single"/>
        </w:rPr>
        <w:t xml:space="preserve">     　</w:t>
      </w:r>
      <w:r>
        <w:rPr>
          <w:rFonts w:hint="eastAsia" w:ascii="仿宋" w:hAnsi="仿宋" w:eastAsia="仿宋" w:cs="仿宋"/>
          <w:b/>
          <w:bCs/>
          <w:color w:val="auto"/>
          <w:w w:val="99"/>
          <w:kern w:val="0"/>
          <w:sz w:val="28"/>
          <w:szCs w:val="22"/>
          <w:highlight w:val="none"/>
        </w:rPr>
        <w:t>年</w:t>
      </w:r>
      <w:r>
        <w:rPr>
          <w:rFonts w:hint="eastAsia" w:ascii="仿宋" w:hAnsi="仿宋" w:eastAsia="仿宋" w:cs="仿宋"/>
          <w:b/>
          <w:bCs/>
          <w:color w:val="auto"/>
          <w:w w:val="198"/>
          <w:kern w:val="0"/>
          <w:sz w:val="28"/>
          <w:szCs w:val="22"/>
          <w:highlight w:val="none"/>
          <w:u w:val="single"/>
        </w:rPr>
        <w:t xml:space="preserve">  </w:t>
      </w:r>
      <w:r>
        <w:rPr>
          <w:rFonts w:hint="eastAsia" w:ascii="仿宋" w:hAnsi="仿宋" w:eastAsia="仿宋" w:cs="仿宋"/>
          <w:b/>
          <w:bCs/>
          <w:color w:val="auto"/>
          <w:w w:val="99"/>
          <w:kern w:val="0"/>
          <w:sz w:val="28"/>
          <w:szCs w:val="22"/>
          <w:highlight w:val="none"/>
        </w:rPr>
        <w:t>月</w:t>
      </w:r>
      <w:r>
        <w:rPr>
          <w:rFonts w:hint="eastAsia" w:ascii="仿宋" w:hAnsi="仿宋" w:eastAsia="仿宋" w:cs="仿宋"/>
          <w:b/>
          <w:bCs/>
          <w:color w:val="auto"/>
          <w:w w:val="198"/>
          <w:kern w:val="0"/>
          <w:sz w:val="28"/>
          <w:szCs w:val="22"/>
          <w:highlight w:val="none"/>
          <w:u w:val="single"/>
        </w:rPr>
        <w:t xml:space="preserve">  </w:t>
      </w:r>
      <w:r>
        <w:rPr>
          <w:rFonts w:hint="eastAsia" w:ascii="仿宋" w:hAnsi="仿宋" w:eastAsia="仿宋" w:cs="仿宋"/>
          <w:b/>
          <w:bCs/>
          <w:color w:val="auto"/>
          <w:w w:val="99"/>
          <w:kern w:val="0"/>
          <w:sz w:val="28"/>
          <w:szCs w:val="22"/>
          <w:highlight w:val="none"/>
        </w:rPr>
        <w:t>日</w:t>
      </w:r>
    </w:p>
    <w:permEnd w:id="53"/>
    <w:p w14:paraId="4ED54A3D">
      <w:pPr>
        <w:jc w:val="center"/>
        <w:rPr>
          <w:rFonts w:hint="eastAsia" w:ascii="仿宋" w:hAnsi="仿宋" w:eastAsia="仿宋" w:cs="仿宋"/>
          <w:bCs/>
          <w:color w:val="auto"/>
          <w:kern w:val="0"/>
          <w:sz w:val="24"/>
          <w:szCs w:val="22"/>
          <w:highlight w:val="none"/>
        </w:rPr>
      </w:pPr>
      <w:r>
        <w:rPr>
          <w:rFonts w:hint="eastAsia" w:ascii="仿宋" w:hAnsi="仿宋" w:eastAsia="仿宋" w:cs="仿宋"/>
          <w:bCs/>
          <w:color w:val="auto"/>
          <w:kern w:val="0"/>
          <w:sz w:val="24"/>
          <w:szCs w:val="22"/>
          <w:highlight w:val="none"/>
        </w:rPr>
        <w:br w:type="page"/>
      </w:r>
      <w:bookmarkEnd w:id="145"/>
      <w:bookmarkEnd w:id="146"/>
      <w:bookmarkEnd w:id="147"/>
      <w:bookmarkEnd w:id="148"/>
      <w:bookmarkEnd w:id="149"/>
      <w:bookmarkEnd w:id="150"/>
      <w:bookmarkEnd w:id="151"/>
      <w:bookmarkEnd w:id="152"/>
    </w:p>
    <w:p w14:paraId="37AC38D7">
      <w:pPr>
        <w:pStyle w:val="9"/>
        <w:rPr>
          <w:rFonts w:hint="eastAsia" w:ascii="仿宋" w:hAnsi="仿宋" w:eastAsia="仿宋" w:cs="仿宋"/>
          <w:bCs/>
          <w:color w:val="auto"/>
          <w:kern w:val="0"/>
          <w:sz w:val="24"/>
          <w:szCs w:val="22"/>
          <w:highlight w:val="none"/>
        </w:rPr>
      </w:pPr>
    </w:p>
    <w:p w14:paraId="5F825679">
      <w:pPr>
        <w:rPr>
          <w:rFonts w:hint="eastAsia" w:ascii="仿宋" w:hAnsi="仿宋" w:eastAsia="仿宋" w:cs="仿宋"/>
          <w:bCs/>
          <w:color w:val="auto"/>
          <w:kern w:val="0"/>
          <w:sz w:val="24"/>
          <w:szCs w:val="22"/>
          <w:highlight w:val="none"/>
        </w:rPr>
      </w:pPr>
    </w:p>
    <w:p w14:paraId="7CFA8404">
      <w:pPr>
        <w:pStyle w:val="9"/>
        <w:rPr>
          <w:rFonts w:hint="eastAsia" w:ascii="仿宋" w:hAnsi="仿宋" w:eastAsia="仿宋" w:cs="仿宋"/>
          <w:bCs/>
          <w:color w:val="auto"/>
          <w:kern w:val="0"/>
          <w:sz w:val="24"/>
          <w:szCs w:val="22"/>
          <w:highlight w:val="none"/>
        </w:rPr>
      </w:pPr>
    </w:p>
    <w:p w14:paraId="08F63CFB">
      <w:pPr>
        <w:rPr>
          <w:rFonts w:hint="eastAsia" w:ascii="仿宋" w:hAnsi="仿宋" w:eastAsia="仿宋" w:cs="仿宋"/>
          <w:bCs/>
          <w:color w:val="auto"/>
          <w:kern w:val="0"/>
          <w:sz w:val="24"/>
          <w:szCs w:val="22"/>
          <w:highlight w:val="none"/>
        </w:rPr>
      </w:pPr>
    </w:p>
    <w:p w14:paraId="691648DB">
      <w:pPr>
        <w:pStyle w:val="9"/>
        <w:rPr>
          <w:rFonts w:hint="eastAsia" w:ascii="仿宋" w:hAnsi="仿宋" w:eastAsia="仿宋" w:cs="仿宋"/>
          <w:bCs/>
          <w:color w:val="auto"/>
          <w:kern w:val="0"/>
          <w:sz w:val="24"/>
          <w:szCs w:val="22"/>
          <w:highlight w:val="none"/>
        </w:rPr>
      </w:pPr>
    </w:p>
    <w:p w14:paraId="41CF4938">
      <w:pPr>
        <w:rPr>
          <w:rFonts w:hint="eastAsia" w:ascii="仿宋" w:hAnsi="仿宋" w:eastAsia="仿宋" w:cs="仿宋"/>
          <w:bCs/>
          <w:color w:val="auto"/>
          <w:kern w:val="0"/>
          <w:sz w:val="24"/>
          <w:szCs w:val="22"/>
          <w:highlight w:val="none"/>
        </w:rPr>
      </w:pPr>
    </w:p>
    <w:p w14:paraId="11FCB529">
      <w:pPr>
        <w:pStyle w:val="9"/>
        <w:rPr>
          <w:rFonts w:hint="eastAsia" w:ascii="仿宋" w:hAnsi="仿宋" w:eastAsia="仿宋" w:cs="仿宋"/>
          <w:color w:val="auto"/>
          <w:highlight w:val="none"/>
        </w:rPr>
      </w:pPr>
    </w:p>
    <w:p w14:paraId="53E924E3">
      <w:pPr>
        <w:autoSpaceDE w:val="0"/>
        <w:autoSpaceDN w:val="0"/>
        <w:adjustRightInd w:val="0"/>
        <w:snapToGrid w:val="0"/>
        <w:spacing w:line="360" w:lineRule="auto"/>
        <w:jc w:val="left"/>
        <w:rPr>
          <w:rFonts w:hint="eastAsia" w:ascii="仿宋" w:hAnsi="仿宋" w:eastAsia="仿宋" w:cs="仿宋"/>
          <w:color w:val="auto"/>
          <w:kern w:val="0"/>
          <w:sz w:val="16"/>
          <w:szCs w:val="22"/>
          <w:highlight w:val="none"/>
        </w:rPr>
      </w:pPr>
    </w:p>
    <w:p w14:paraId="165081C1">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r>
        <w:rPr>
          <w:rFonts w:hint="eastAsia" w:ascii="仿宋" w:hAnsi="仿宋" w:eastAsia="仿宋" w:cs="仿宋"/>
          <w:b/>
          <w:bCs/>
          <w:color w:val="auto"/>
          <w:kern w:val="0"/>
          <w:sz w:val="36"/>
          <w:szCs w:val="22"/>
          <w:highlight w:val="none"/>
        </w:rPr>
        <w:t>商</w:t>
      </w:r>
      <w:r>
        <w:rPr>
          <w:rFonts w:hint="eastAsia" w:ascii="仿宋" w:hAnsi="仿宋" w:eastAsia="仿宋" w:cs="仿宋"/>
          <w:b/>
          <w:bCs/>
          <w:color w:val="auto"/>
          <w:kern w:val="0"/>
          <w:sz w:val="36"/>
          <w:szCs w:val="22"/>
          <w:highlight w:val="none"/>
          <w:lang w:val="en-US" w:eastAsia="zh-CN"/>
        </w:rPr>
        <w:t xml:space="preserve"> </w:t>
      </w:r>
      <w:r>
        <w:rPr>
          <w:rFonts w:hint="eastAsia" w:ascii="仿宋" w:hAnsi="仿宋" w:eastAsia="仿宋" w:cs="仿宋"/>
          <w:b/>
          <w:bCs/>
          <w:color w:val="auto"/>
          <w:kern w:val="0"/>
          <w:sz w:val="36"/>
          <w:szCs w:val="22"/>
          <w:highlight w:val="none"/>
        </w:rPr>
        <w:t>务</w:t>
      </w:r>
      <w:r>
        <w:rPr>
          <w:rFonts w:hint="eastAsia" w:ascii="仿宋" w:hAnsi="仿宋" w:eastAsia="仿宋" w:cs="仿宋"/>
          <w:b/>
          <w:bCs/>
          <w:color w:val="auto"/>
          <w:kern w:val="0"/>
          <w:sz w:val="36"/>
          <w:szCs w:val="22"/>
          <w:highlight w:val="none"/>
          <w:lang w:val="en-US" w:eastAsia="zh-CN"/>
        </w:rPr>
        <w:t xml:space="preserve"> </w:t>
      </w:r>
      <w:r>
        <w:rPr>
          <w:rFonts w:hint="eastAsia" w:ascii="仿宋" w:hAnsi="仿宋" w:eastAsia="仿宋" w:cs="仿宋"/>
          <w:b/>
          <w:bCs/>
          <w:color w:val="auto"/>
          <w:kern w:val="0"/>
          <w:sz w:val="36"/>
          <w:szCs w:val="22"/>
          <w:highlight w:val="none"/>
        </w:rPr>
        <w:t>标</w:t>
      </w:r>
    </w:p>
    <w:p w14:paraId="74A7159D">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2083391F">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344BA236">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6A3FA186">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185E9A2F">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5E94906F">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5BB91C26">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3C53BEFB">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55C5CEF8">
      <w:pPr>
        <w:autoSpaceDE w:val="0"/>
        <w:autoSpaceDN w:val="0"/>
        <w:adjustRightInd w:val="0"/>
        <w:snapToGrid w:val="0"/>
        <w:spacing w:line="360" w:lineRule="auto"/>
        <w:jc w:val="left"/>
        <w:rPr>
          <w:rFonts w:hint="eastAsia" w:ascii="仿宋" w:hAnsi="仿宋" w:eastAsia="仿宋" w:cs="仿宋"/>
          <w:color w:val="auto"/>
          <w:kern w:val="0"/>
          <w:sz w:val="24"/>
          <w:szCs w:val="22"/>
          <w:highlight w:val="none"/>
        </w:rPr>
      </w:pPr>
    </w:p>
    <w:p w14:paraId="50AC8F36">
      <w:pPr>
        <w:pStyle w:val="9"/>
        <w:rPr>
          <w:rFonts w:hint="eastAsia" w:ascii="仿宋" w:hAnsi="仿宋" w:eastAsia="仿宋" w:cs="仿宋"/>
          <w:color w:val="auto"/>
          <w:kern w:val="0"/>
          <w:sz w:val="24"/>
          <w:szCs w:val="22"/>
          <w:highlight w:val="none"/>
        </w:rPr>
      </w:pPr>
    </w:p>
    <w:p w14:paraId="0AAE0639">
      <w:pPr>
        <w:rPr>
          <w:rFonts w:hint="eastAsia" w:ascii="仿宋" w:hAnsi="仿宋" w:eastAsia="仿宋" w:cs="仿宋"/>
          <w:color w:val="auto"/>
          <w:kern w:val="0"/>
          <w:sz w:val="24"/>
          <w:szCs w:val="22"/>
          <w:highlight w:val="none"/>
        </w:rPr>
      </w:pPr>
    </w:p>
    <w:p w14:paraId="3CF73021">
      <w:pPr>
        <w:pStyle w:val="9"/>
        <w:rPr>
          <w:rFonts w:hint="eastAsia" w:ascii="仿宋" w:hAnsi="仿宋" w:eastAsia="仿宋" w:cs="仿宋"/>
          <w:color w:val="auto"/>
          <w:kern w:val="0"/>
          <w:sz w:val="24"/>
          <w:szCs w:val="22"/>
          <w:highlight w:val="none"/>
        </w:rPr>
      </w:pPr>
    </w:p>
    <w:p w14:paraId="1A6DADDC">
      <w:pPr>
        <w:rPr>
          <w:rFonts w:hint="eastAsia" w:ascii="仿宋" w:hAnsi="仿宋" w:eastAsia="仿宋" w:cs="仿宋"/>
          <w:color w:val="auto"/>
          <w:kern w:val="0"/>
          <w:sz w:val="24"/>
          <w:szCs w:val="22"/>
          <w:highlight w:val="none"/>
        </w:rPr>
      </w:pPr>
    </w:p>
    <w:p w14:paraId="1FCF498E">
      <w:pPr>
        <w:pStyle w:val="9"/>
        <w:rPr>
          <w:rFonts w:hint="eastAsia" w:ascii="仿宋" w:hAnsi="仿宋" w:eastAsia="仿宋" w:cs="仿宋"/>
          <w:color w:val="auto"/>
          <w:kern w:val="0"/>
          <w:sz w:val="24"/>
          <w:szCs w:val="22"/>
          <w:highlight w:val="none"/>
        </w:rPr>
      </w:pPr>
    </w:p>
    <w:p w14:paraId="06350A89">
      <w:pPr>
        <w:rPr>
          <w:rFonts w:hint="eastAsia" w:ascii="仿宋" w:hAnsi="仿宋" w:eastAsia="仿宋" w:cs="仿宋"/>
          <w:color w:val="auto"/>
          <w:kern w:val="0"/>
          <w:sz w:val="24"/>
          <w:szCs w:val="22"/>
          <w:highlight w:val="none"/>
        </w:rPr>
      </w:pPr>
    </w:p>
    <w:p w14:paraId="4316655B">
      <w:pPr>
        <w:pStyle w:val="9"/>
        <w:rPr>
          <w:rFonts w:hint="eastAsia" w:ascii="仿宋" w:hAnsi="仿宋" w:eastAsia="仿宋" w:cs="仿宋"/>
          <w:color w:val="auto"/>
          <w:kern w:val="0"/>
          <w:sz w:val="24"/>
          <w:szCs w:val="22"/>
          <w:highlight w:val="none"/>
        </w:rPr>
      </w:pPr>
    </w:p>
    <w:p w14:paraId="017F38B4">
      <w:pPr>
        <w:rPr>
          <w:rFonts w:hint="eastAsia" w:ascii="仿宋" w:hAnsi="仿宋" w:eastAsia="仿宋" w:cs="仿宋"/>
          <w:color w:val="auto"/>
          <w:kern w:val="0"/>
          <w:sz w:val="24"/>
          <w:szCs w:val="22"/>
          <w:highlight w:val="none"/>
        </w:rPr>
      </w:pPr>
    </w:p>
    <w:p w14:paraId="6FD6582F">
      <w:pPr>
        <w:pStyle w:val="9"/>
        <w:rPr>
          <w:rFonts w:hint="eastAsia" w:ascii="仿宋" w:hAnsi="仿宋" w:eastAsia="仿宋" w:cs="仿宋"/>
          <w:color w:val="auto"/>
          <w:kern w:val="0"/>
          <w:sz w:val="24"/>
          <w:szCs w:val="22"/>
          <w:highlight w:val="none"/>
        </w:rPr>
      </w:pPr>
    </w:p>
    <w:p w14:paraId="71C6D36E">
      <w:pPr>
        <w:rPr>
          <w:rFonts w:hint="eastAsia" w:ascii="仿宋" w:hAnsi="仿宋" w:eastAsia="仿宋" w:cs="仿宋"/>
          <w:color w:val="auto"/>
          <w:kern w:val="0"/>
          <w:sz w:val="24"/>
          <w:szCs w:val="22"/>
          <w:highlight w:val="none"/>
        </w:rPr>
      </w:pPr>
    </w:p>
    <w:p w14:paraId="3E157AE5">
      <w:pPr>
        <w:pStyle w:val="9"/>
        <w:rPr>
          <w:rFonts w:hint="eastAsia" w:ascii="仿宋" w:hAnsi="仿宋" w:eastAsia="仿宋" w:cs="仿宋"/>
          <w:color w:val="auto"/>
          <w:kern w:val="0"/>
          <w:sz w:val="24"/>
          <w:szCs w:val="22"/>
          <w:highlight w:val="none"/>
        </w:rPr>
      </w:pPr>
    </w:p>
    <w:p w14:paraId="58764C2F">
      <w:pPr>
        <w:rPr>
          <w:rFonts w:hint="eastAsia" w:ascii="仿宋" w:hAnsi="仿宋" w:eastAsia="仿宋" w:cs="仿宋"/>
          <w:color w:val="auto"/>
          <w:kern w:val="0"/>
          <w:sz w:val="24"/>
          <w:szCs w:val="22"/>
          <w:highlight w:val="none"/>
        </w:rPr>
      </w:pPr>
    </w:p>
    <w:p w14:paraId="11F153C5">
      <w:pPr>
        <w:pStyle w:val="57"/>
        <w:rPr>
          <w:rFonts w:hint="eastAsia" w:ascii="仿宋" w:hAnsi="仿宋" w:eastAsia="仿宋" w:cs="仿宋"/>
          <w:color w:val="auto"/>
        </w:rPr>
      </w:pPr>
    </w:p>
    <w:p w14:paraId="5B304793">
      <w:pPr>
        <w:rPr>
          <w:rFonts w:hint="eastAsia" w:ascii="仿宋" w:hAnsi="仿宋" w:eastAsia="仿宋" w:cs="仿宋"/>
          <w:color w:val="auto"/>
          <w:kern w:val="0"/>
          <w:sz w:val="24"/>
          <w:szCs w:val="22"/>
          <w:highlight w:val="none"/>
        </w:rPr>
      </w:pPr>
    </w:p>
    <w:p w14:paraId="1F9A076C">
      <w:pPr>
        <w:pStyle w:val="9"/>
        <w:rPr>
          <w:rFonts w:hint="eastAsia" w:ascii="仿宋" w:hAnsi="仿宋" w:eastAsia="仿宋" w:cs="仿宋"/>
          <w:color w:val="auto"/>
          <w:kern w:val="0"/>
          <w:sz w:val="24"/>
          <w:szCs w:val="22"/>
          <w:highlight w:val="none"/>
        </w:rPr>
      </w:pPr>
    </w:p>
    <w:p w14:paraId="5A955282">
      <w:pPr>
        <w:rPr>
          <w:rFonts w:hint="eastAsia" w:ascii="仿宋" w:hAnsi="仿宋" w:eastAsia="仿宋" w:cs="仿宋"/>
          <w:color w:val="auto"/>
          <w:kern w:val="0"/>
          <w:sz w:val="24"/>
          <w:szCs w:val="22"/>
          <w:highlight w:val="none"/>
        </w:rPr>
      </w:pPr>
    </w:p>
    <w:p w14:paraId="0C85DC85">
      <w:pPr>
        <w:pStyle w:val="9"/>
        <w:rPr>
          <w:rFonts w:hint="eastAsia" w:ascii="仿宋" w:hAnsi="仿宋" w:eastAsia="仿宋" w:cs="仿宋"/>
          <w:color w:val="auto"/>
          <w:kern w:val="0"/>
          <w:sz w:val="24"/>
          <w:szCs w:val="22"/>
          <w:highlight w:val="none"/>
        </w:rPr>
      </w:pPr>
    </w:p>
    <w:p w14:paraId="7332A68A">
      <w:pPr>
        <w:rPr>
          <w:rFonts w:hint="eastAsia" w:ascii="仿宋" w:hAnsi="仿宋" w:eastAsia="仿宋" w:cs="仿宋"/>
          <w:color w:val="auto"/>
          <w:highlight w:val="none"/>
        </w:rPr>
      </w:pPr>
    </w:p>
    <w:p w14:paraId="62A83E27">
      <w:pPr>
        <w:autoSpaceDE w:val="0"/>
        <w:autoSpaceDN w:val="0"/>
        <w:adjustRightInd w:val="0"/>
        <w:snapToGrid w:val="0"/>
        <w:spacing w:line="360" w:lineRule="auto"/>
        <w:jc w:val="center"/>
        <w:rPr>
          <w:rFonts w:hint="eastAsia" w:ascii="仿宋" w:hAnsi="仿宋" w:eastAsia="仿宋" w:cs="仿宋"/>
          <w:b/>
          <w:bCs/>
          <w:color w:val="auto"/>
          <w:kern w:val="0"/>
          <w:sz w:val="32"/>
          <w:szCs w:val="22"/>
          <w:highlight w:val="none"/>
        </w:rPr>
      </w:pPr>
      <w:r>
        <w:rPr>
          <w:rFonts w:hint="eastAsia" w:ascii="仿宋" w:hAnsi="仿宋" w:eastAsia="仿宋" w:cs="仿宋"/>
          <w:b/>
          <w:bCs/>
          <w:color w:val="auto"/>
          <w:kern w:val="0"/>
          <w:sz w:val="32"/>
          <w:szCs w:val="22"/>
          <w:highlight w:val="none"/>
        </w:rPr>
        <w:t>目     录</w:t>
      </w:r>
    </w:p>
    <w:p w14:paraId="3AF84399">
      <w:pPr>
        <w:autoSpaceDE w:val="0"/>
        <w:autoSpaceDN w:val="0"/>
        <w:adjustRightInd w:val="0"/>
        <w:snapToGrid w:val="0"/>
        <w:spacing w:line="360" w:lineRule="auto"/>
        <w:ind w:firstLine="388" w:firstLineChars="196"/>
        <w:rPr>
          <w:rFonts w:hint="eastAsia" w:ascii="仿宋" w:hAnsi="仿宋" w:eastAsia="仿宋" w:cs="仿宋"/>
          <w:color w:val="auto"/>
          <w:spacing w:val="-6"/>
          <w:szCs w:val="21"/>
          <w:highlight w:val="none"/>
        </w:rPr>
      </w:pPr>
    </w:p>
    <w:p w14:paraId="06150C2D">
      <w:pPr>
        <w:autoSpaceDE w:val="0"/>
        <w:autoSpaceDN w:val="0"/>
        <w:adjustRightInd w:val="0"/>
        <w:snapToGrid w:val="0"/>
        <w:spacing w:line="360" w:lineRule="auto"/>
        <w:ind w:firstLine="388" w:firstLineChars="196"/>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（一）投标函</w:t>
      </w:r>
    </w:p>
    <w:p w14:paraId="46DAA96F">
      <w:pPr>
        <w:autoSpaceDE w:val="0"/>
        <w:autoSpaceDN w:val="0"/>
        <w:adjustRightInd w:val="0"/>
        <w:snapToGrid w:val="0"/>
        <w:spacing w:line="360" w:lineRule="auto"/>
        <w:ind w:firstLine="388" w:firstLineChars="196"/>
        <w:rPr>
          <w:rFonts w:hint="eastAsia" w:ascii="仿宋" w:hAnsi="仿宋" w:eastAsia="仿宋" w:cs="仿宋"/>
          <w:color w:val="auto"/>
          <w:spacing w:val="-6"/>
          <w:sz w:val="21"/>
          <w:szCs w:val="21"/>
          <w:highlight w:val="none"/>
        </w:rPr>
      </w:pPr>
      <w:r>
        <w:rPr>
          <w:rFonts w:hint="eastAsia" w:ascii="仿宋" w:hAnsi="仿宋" w:eastAsia="仿宋" w:cs="仿宋"/>
          <w:color w:val="auto"/>
          <w:spacing w:val="-6"/>
          <w:sz w:val="21"/>
          <w:szCs w:val="21"/>
          <w:highlight w:val="none"/>
        </w:rPr>
        <w:t>（二）已标价投标报价表</w:t>
      </w:r>
    </w:p>
    <w:p w14:paraId="30B7B094">
      <w:pPr>
        <w:autoSpaceDE w:val="0"/>
        <w:autoSpaceDN w:val="0"/>
        <w:adjustRightInd w:val="0"/>
        <w:spacing w:line="360" w:lineRule="auto"/>
        <w:ind w:right="-20" w:firstLine="105" w:firstLineChars="50"/>
        <w:jc w:val="left"/>
        <w:rPr>
          <w:rFonts w:hint="eastAsia" w:ascii="仿宋" w:hAnsi="仿宋" w:eastAsia="仿宋" w:cs="仿宋"/>
          <w:color w:val="auto"/>
          <w:sz w:val="21"/>
          <w:szCs w:val="21"/>
          <w:highlight w:val="none"/>
        </w:rPr>
      </w:pPr>
    </w:p>
    <w:p w14:paraId="5C5FA0FA">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13119A4F">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1844A546">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1E12AD8C">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0B270287">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79676B3A">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48F3F504">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5379BBB5">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17ABE1CA">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72A446BE">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3382ABBB">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6EF86BD8">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4281D027">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7F3AE7FC">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50D53109">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4EA0EE52">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05FF2B4B">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7C76AAF5">
      <w:pPr>
        <w:pStyle w:val="9"/>
        <w:rPr>
          <w:rFonts w:hint="eastAsia"/>
        </w:rPr>
      </w:pPr>
    </w:p>
    <w:p w14:paraId="283CC2EC">
      <w:pPr>
        <w:autoSpaceDE w:val="0"/>
        <w:autoSpaceDN w:val="0"/>
        <w:adjustRightInd w:val="0"/>
        <w:spacing w:line="360" w:lineRule="auto"/>
        <w:ind w:right="-20" w:firstLine="160" w:firstLineChars="50"/>
        <w:jc w:val="left"/>
        <w:rPr>
          <w:rFonts w:hint="eastAsia" w:ascii="仿宋" w:hAnsi="仿宋" w:eastAsia="仿宋" w:cs="仿宋"/>
          <w:color w:val="auto"/>
          <w:sz w:val="32"/>
          <w:szCs w:val="22"/>
          <w:highlight w:val="none"/>
        </w:rPr>
      </w:pPr>
    </w:p>
    <w:p w14:paraId="2F3DBF24">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一、投 标 函</w:t>
      </w:r>
    </w:p>
    <w:p w14:paraId="6868ACCC">
      <w:pPr>
        <w:spacing w:line="4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致</w:t>
      </w:r>
      <w:permStart w:id="54" w:edGrp="everyone"/>
      <w:r>
        <w:rPr>
          <w:rFonts w:hint="eastAsia" w:ascii="仿宋" w:hAnsi="仿宋" w:eastAsia="仿宋" w:cs="仿宋"/>
          <w:color w:val="auto"/>
          <w:sz w:val="21"/>
          <w:szCs w:val="21"/>
          <w:highlight w:val="none"/>
          <w:u w:val="single"/>
        </w:rPr>
        <w:t xml:space="preserve">                              </w:t>
      </w:r>
      <w:permEnd w:id="54"/>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w:t>
      </w:r>
    </w:p>
    <w:p w14:paraId="4F92A708">
      <w:pPr>
        <w:adjustRightInd w:val="0"/>
        <w:snapToGrid w:val="0"/>
        <w:spacing w:before="48" w:beforeLines="20" w:after="48" w:afterLines="20" w:line="400" w:lineRule="exact"/>
        <w:ind w:firstLine="474" w:firstLineChars="225"/>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1、我单位已认真研究了</w:t>
      </w:r>
      <w:permStart w:id="55" w:edGrp="everyone"/>
      <w:r>
        <w:rPr>
          <w:rFonts w:hint="eastAsia" w:ascii="仿宋" w:hAnsi="仿宋" w:eastAsia="仿宋" w:cs="仿宋"/>
          <w:b/>
          <w:color w:val="auto"/>
          <w:sz w:val="21"/>
          <w:szCs w:val="21"/>
          <w:highlight w:val="none"/>
          <w:u w:val="single"/>
        </w:rPr>
        <w:t>              </w:t>
      </w:r>
      <w:permEnd w:id="55"/>
      <w:r>
        <w:rPr>
          <w:rFonts w:hint="eastAsia" w:ascii="仿宋" w:hAnsi="仿宋" w:eastAsia="仿宋" w:cs="仿宋"/>
          <w:b/>
          <w:color w:val="auto"/>
          <w:sz w:val="21"/>
          <w:szCs w:val="21"/>
          <w:highlight w:val="none"/>
        </w:rPr>
        <w:t>采购招标文件的全部内容，我单位完全响应招标文件并愿意按人民币含税大写</w:t>
      </w:r>
      <w:r>
        <w:rPr>
          <w:rFonts w:hint="eastAsia" w:ascii="仿宋" w:hAnsi="仿宋" w:eastAsia="仿宋" w:cs="仿宋"/>
          <w:b/>
          <w:color w:val="auto"/>
          <w:sz w:val="21"/>
          <w:szCs w:val="21"/>
          <w:highlight w:val="none"/>
          <w:u w:val="single"/>
        </w:rPr>
        <w:t> </w:t>
      </w:r>
      <w:permStart w:id="56" w:edGrp="everyone"/>
      <w:r>
        <w:rPr>
          <w:rFonts w:hint="eastAsia" w:ascii="仿宋" w:hAnsi="仿宋" w:eastAsia="仿宋" w:cs="仿宋"/>
          <w:b/>
          <w:color w:val="auto"/>
          <w:sz w:val="21"/>
          <w:szCs w:val="21"/>
          <w:highlight w:val="none"/>
          <w:u w:val="single"/>
        </w:rPr>
        <w:t>  </w:t>
      </w:r>
      <w:r>
        <w:rPr>
          <w:rFonts w:hint="eastAsia" w:ascii="仿宋" w:hAnsi="仿宋" w:eastAsia="仿宋" w:cs="仿宋"/>
          <w:b/>
          <w:color w:val="auto"/>
          <w:sz w:val="21"/>
          <w:szCs w:val="21"/>
          <w:highlight w:val="none"/>
          <w:u w:val="single"/>
          <w:lang w:val="en-US" w:eastAsia="zh-CN"/>
        </w:rPr>
        <w:t xml:space="preserve">  </w:t>
      </w:r>
      <w:r>
        <w:rPr>
          <w:rFonts w:hint="eastAsia" w:ascii="仿宋" w:hAnsi="仿宋" w:eastAsia="仿宋" w:cs="仿宋"/>
          <w:b/>
          <w:color w:val="auto"/>
          <w:sz w:val="21"/>
          <w:szCs w:val="21"/>
          <w:highlight w:val="none"/>
          <w:u w:val="single"/>
        </w:rPr>
        <w:t>  </w:t>
      </w:r>
      <w:permEnd w:id="56"/>
      <w:r>
        <w:rPr>
          <w:rFonts w:hint="eastAsia" w:ascii="仿宋" w:hAnsi="仿宋" w:eastAsia="仿宋" w:cs="仿宋"/>
          <w:b/>
          <w:color w:val="auto"/>
          <w:sz w:val="21"/>
          <w:szCs w:val="21"/>
          <w:highlight w:val="none"/>
        </w:rPr>
        <w:t>元（含税小写</w:t>
      </w:r>
      <w:permStart w:id="57" w:edGrp="everyone"/>
      <w:r>
        <w:rPr>
          <w:rFonts w:hint="eastAsia" w:ascii="仿宋" w:hAnsi="仿宋" w:eastAsia="仿宋" w:cs="仿宋"/>
          <w:b/>
          <w:color w:val="auto"/>
          <w:sz w:val="21"/>
          <w:szCs w:val="21"/>
          <w:highlight w:val="none"/>
          <w:u w:val="single"/>
        </w:rPr>
        <w:t>  </w:t>
      </w:r>
      <w:r>
        <w:rPr>
          <w:rFonts w:hint="eastAsia" w:ascii="仿宋" w:hAnsi="仿宋" w:eastAsia="仿宋" w:cs="仿宋"/>
          <w:b/>
          <w:color w:val="auto"/>
          <w:sz w:val="21"/>
          <w:szCs w:val="21"/>
          <w:highlight w:val="none"/>
          <w:u w:val="single"/>
          <w:lang w:val="en-US" w:eastAsia="zh-CN"/>
        </w:rPr>
        <w:t xml:space="preserve">  </w:t>
      </w:r>
      <w:r>
        <w:rPr>
          <w:rFonts w:hint="eastAsia" w:ascii="仿宋" w:hAnsi="仿宋" w:eastAsia="仿宋" w:cs="仿宋"/>
          <w:b/>
          <w:color w:val="auto"/>
          <w:sz w:val="21"/>
          <w:szCs w:val="21"/>
          <w:highlight w:val="none"/>
          <w:u w:val="single"/>
        </w:rPr>
        <w:t>  </w:t>
      </w:r>
      <w:permEnd w:id="57"/>
      <w:r>
        <w:rPr>
          <w:rFonts w:hint="eastAsia" w:ascii="仿宋" w:hAnsi="仿宋" w:eastAsia="仿宋" w:cs="仿宋"/>
          <w:b/>
          <w:color w:val="auto"/>
          <w:sz w:val="21"/>
          <w:szCs w:val="21"/>
          <w:highlight w:val="none"/>
        </w:rPr>
        <w:t>元)（税率</w:t>
      </w:r>
      <w:permStart w:id="58" w:edGrp="everyone"/>
      <w:r>
        <w:rPr>
          <w:rFonts w:hint="eastAsia" w:ascii="仿宋" w:hAnsi="仿宋" w:eastAsia="仿宋" w:cs="仿宋"/>
          <w:b/>
          <w:color w:val="auto"/>
          <w:sz w:val="21"/>
          <w:szCs w:val="21"/>
          <w:highlight w:val="none"/>
          <w:u w:val="single"/>
          <w:lang w:val="en-US" w:eastAsia="zh-CN"/>
        </w:rPr>
        <w:t xml:space="preserve">  </w:t>
      </w:r>
      <w:r>
        <w:rPr>
          <w:rFonts w:hint="eastAsia" w:ascii="仿宋" w:hAnsi="仿宋" w:eastAsia="仿宋" w:cs="仿宋"/>
          <w:b/>
          <w:color w:val="auto"/>
          <w:sz w:val="21"/>
          <w:szCs w:val="21"/>
          <w:highlight w:val="none"/>
          <w:lang w:val="en-US" w:eastAsia="zh-CN"/>
        </w:rPr>
        <w:t xml:space="preserve"> </w:t>
      </w:r>
      <w:permEnd w:id="58"/>
      <w:r>
        <w:rPr>
          <w:rFonts w:hint="eastAsia" w:ascii="仿宋" w:hAnsi="仿宋" w:eastAsia="仿宋" w:cs="仿宋"/>
          <w:b/>
          <w:color w:val="auto"/>
          <w:sz w:val="21"/>
          <w:szCs w:val="21"/>
          <w:highlight w:val="none"/>
        </w:rPr>
        <w:t>%）的总报价（详见报价清单）承担招标文件中规定的全部责任和义务。</w:t>
      </w:r>
    </w:p>
    <w:p w14:paraId="7B4E4A63">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2、如果你单位接纳我单位的投标，我单位保证按照招标文件的要求签署合同，并在你单位要求期限内交付本合同范围内的全部产品且产品质量达到招标文件规定的标准。 </w:t>
      </w:r>
    </w:p>
    <w:p w14:paraId="01BAB818">
      <w:pPr>
        <w:tabs>
          <w:tab w:val="left" w:pos="7513"/>
          <w:tab w:val="left" w:pos="7655"/>
          <w:tab w:val="left" w:pos="7797"/>
          <w:tab w:val="left" w:pos="8080"/>
        </w:tabs>
        <w:spacing w:line="400" w:lineRule="exact"/>
        <w:ind w:firstLine="420" w:firstLineChars="200"/>
        <w:jc w:val="lef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3、我单位同意在招标文件规定的投标有效期内遵守本投标文件的各项承诺，在此期限届满之前，本投标文件始终对我单位具有约束力。 </w:t>
      </w:r>
    </w:p>
    <w:p w14:paraId="38057CD8">
      <w:pPr>
        <w:tabs>
          <w:tab w:val="left" w:pos="7513"/>
          <w:tab w:val="left" w:pos="7655"/>
          <w:tab w:val="left" w:pos="7797"/>
          <w:tab w:val="left" w:pos="8080"/>
        </w:tabs>
        <w:spacing w:line="400" w:lineRule="exact"/>
        <w:ind w:firstLine="420" w:firstLineChars="200"/>
        <w:jc w:val="lef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4、我单位理解，你单位不保证最低投标价的投标人中标的声明。 </w:t>
      </w:r>
    </w:p>
    <w:p w14:paraId="46D03B01">
      <w:pPr>
        <w:autoSpaceDE w:val="0"/>
        <w:autoSpaceDN w:val="0"/>
        <w:adjustRightInd w:val="0"/>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5、随同本投标文件，我单位出具投标保证金为</w:t>
      </w:r>
      <w:permStart w:id="59" w:edGrp="everyone"/>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u w:val="single"/>
          <w:lang w:val="en-US" w:eastAsia="zh-CN"/>
        </w:rPr>
        <w:t>20000</w:t>
      </w:r>
      <w:r>
        <w:rPr>
          <w:rFonts w:hint="eastAsia" w:ascii="仿宋" w:hAnsi="仿宋" w:eastAsia="仿宋" w:cs="仿宋"/>
          <w:color w:val="auto"/>
          <w:sz w:val="21"/>
          <w:szCs w:val="21"/>
          <w:highlight w:val="none"/>
          <w:u w:val="single"/>
        </w:rPr>
        <w:t xml:space="preserve"> </w:t>
      </w:r>
      <w:permEnd w:id="59"/>
      <w:r>
        <w:rPr>
          <w:rFonts w:hint="eastAsia" w:ascii="仿宋" w:hAnsi="仿宋" w:eastAsia="仿宋" w:cs="仿宋"/>
          <w:color w:val="auto"/>
          <w:sz w:val="21"/>
          <w:szCs w:val="21"/>
          <w:highlight w:val="none"/>
        </w:rPr>
        <w:t>元。</w:t>
      </w:r>
      <w:permStart w:id="60" w:edGrp="everyone"/>
      <w:permEnd w:id="60"/>
    </w:p>
    <w:p w14:paraId="69DF82A6">
      <w:pPr>
        <w:tabs>
          <w:tab w:val="left" w:pos="7513"/>
          <w:tab w:val="left" w:pos="7655"/>
          <w:tab w:val="left" w:pos="7797"/>
          <w:tab w:val="left" w:pos="8080"/>
        </w:tabs>
        <w:spacing w:line="400" w:lineRule="exact"/>
        <w:ind w:firstLine="420" w:firstLineChars="200"/>
        <w:jc w:val="lef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6、我方承诺：</w:t>
      </w:r>
    </w:p>
    <w:p w14:paraId="0F09645A">
      <w:pPr>
        <w:tabs>
          <w:tab w:val="left" w:pos="7513"/>
          <w:tab w:val="left" w:pos="7655"/>
          <w:tab w:val="left" w:pos="7797"/>
          <w:tab w:val="left" w:pos="8080"/>
        </w:tabs>
        <w:spacing w:line="400" w:lineRule="exact"/>
        <w:ind w:firstLine="420" w:firstLineChars="200"/>
        <w:jc w:val="lef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（1）我方已对本招标项目的招标文件（含补遗澄清等）进行认真研究并</w:t>
      </w:r>
      <w:permStart w:id="61" w:edGrp="everyone"/>
      <w:permEnd w:id="61"/>
      <w:r>
        <w:rPr>
          <w:rFonts w:hint="eastAsia" w:ascii="仿宋" w:hAnsi="仿宋" w:eastAsia="仿宋" w:cs="仿宋"/>
          <w:color w:val="auto"/>
          <w:sz w:val="21"/>
          <w:szCs w:val="21"/>
          <w:highlight w:val="none"/>
        </w:rPr>
        <w:t>知晓，接受招标文件各项要求，同意在合同签订前接受招标人在总价不变基础上对我方投标文件所附采购清单单价进行调整。</w:t>
      </w:r>
    </w:p>
    <w:p w14:paraId="5B0E5A68">
      <w:pPr>
        <w:adjustRightInd w:val="0"/>
        <w:snapToGrid w:val="0"/>
        <w:spacing w:before="48" w:beforeLines="20" w:after="48" w:afterLines="20" w:line="400" w:lineRule="exact"/>
        <w:ind w:firstLine="474" w:firstLineChars="225"/>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 xml:space="preserve"> (2</w:t>
      </w:r>
      <w:r>
        <w:rPr>
          <w:rFonts w:hint="eastAsia" w:ascii="仿宋" w:hAnsi="仿宋" w:eastAsia="仿宋" w:cs="仿宋"/>
          <w:b/>
          <w:color w:val="auto"/>
          <w:sz w:val="21"/>
          <w:szCs w:val="21"/>
          <w:highlight w:val="none"/>
          <w:lang w:eastAsia="zh-CN"/>
        </w:rPr>
        <w:t>）</w:t>
      </w:r>
      <w:r>
        <w:rPr>
          <w:rFonts w:hint="eastAsia" w:ascii="仿宋" w:hAnsi="仿宋" w:eastAsia="仿宋" w:cs="仿宋"/>
          <w:b/>
          <w:color w:val="auto"/>
          <w:sz w:val="21"/>
          <w:szCs w:val="21"/>
          <w:highlight w:val="none"/>
        </w:rPr>
        <w:t>我方投标报价中已考虑实行增值税计税模式带来的影响，一旦我方中标，将严格遵守国家、省、市增值税相关规定的要求。</w:t>
      </w:r>
    </w:p>
    <w:p w14:paraId="56391270">
      <w:pPr>
        <w:spacing w:line="400" w:lineRule="exact"/>
        <w:ind w:firstLine="420" w:firstLineChars="200"/>
        <w:rPr>
          <w:rFonts w:hint="eastAsia" w:ascii="仿宋" w:hAnsi="仿宋" w:eastAsia="仿宋" w:cs="仿宋"/>
          <w:color w:val="auto"/>
          <w:sz w:val="21"/>
          <w:szCs w:val="21"/>
          <w:highlight w:val="none"/>
        </w:rPr>
      </w:pPr>
    </w:p>
    <w:p w14:paraId="5949A07B">
      <w:pPr>
        <w:spacing w:line="400" w:lineRule="exact"/>
        <w:ind w:firstLine="420" w:firstLineChars="2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投标单位（单位全称并加盖单位公章）：</w:t>
      </w:r>
      <w:permStart w:id="62" w:edGrp="everyone"/>
    </w:p>
    <w:permEnd w:id="62"/>
    <w:p w14:paraId="346FC3E7">
      <w:pPr>
        <w:spacing w:line="400" w:lineRule="exact"/>
        <w:ind w:firstLine="420" w:firstLineChars="200"/>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法定代表人</w:t>
      </w:r>
      <w:r>
        <w:rPr>
          <w:rFonts w:hint="eastAsia" w:ascii="仿宋" w:hAnsi="仿宋" w:eastAsia="仿宋" w:cs="仿宋"/>
          <w:color w:val="auto"/>
          <w:sz w:val="21"/>
          <w:szCs w:val="21"/>
          <w:highlight w:val="none"/>
          <w:lang w:val="en-US" w:eastAsia="zh-CN"/>
        </w:rPr>
        <w:t>或委托代理人</w:t>
      </w:r>
      <w:r>
        <w:rPr>
          <w:rFonts w:hint="eastAsia" w:ascii="仿宋" w:hAnsi="仿宋" w:eastAsia="仿宋" w:cs="仿宋"/>
          <w:color w:val="auto"/>
          <w:sz w:val="21"/>
          <w:szCs w:val="21"/>
          <w:highlight w:val="none"/>
        </w:rPr>
        <w:t>（签字</w:t>
      </w:r>
      <w:r>
        <w:rPr>
          <w:rFonts w:hint="eastAsia" w:ascii="仿宋" w:hAnsi="仿宋" w:eastAsia="仿宋" w:cs="仿宋"/>
          <w:color w:val="auto"/>
          <w:sz w:val="21"/>
          <w:szCs w:val="21"/>
          <w:highlight w:val="none"/>
          <w:lang w:val="en-US" w:eastAsia="zh-CN"/>
        </w:rPr>
        <w:t>或盖章</w:t>
      </w:r>
      <w:r>
        <w:rPr>
          <w:rFonts w:hint="eastAsia" w:ascii="仿宋" w:hAnsi="仿宋" w:eastAsia="仿宋" w:cs="仿宋"/>
          <w:color w:val="auto"/>
          <w:sz w:val="21"/>
          <w:szCs w:val="21"/>
          <w:highlight w:val="none"/>
        </w:rPr>
        <w:t>）：</w:t>
      </w:r>
      <w:permStart w:id="63" w:edGrp="everyone"/>
      <w:r>
        <w:rPr>
          <w:rFonts w:hint="eastAsia" w:ascii="仿宋" w:hAnsi="仿宋" w:eastAsia="仿宋" w:cs="仿宋"/>
          <w:color w:val="auto"/>
          <w:sz w:val="21"/>
          <w:szCs w:val="21"/>
          <w:highlight w:val="none"/>
        </w:rPr>
        <w:t xml:space="preserve"> </w:t>
      </w:r>
    </w:p>
    <w:permEnd w:id="63"/>
    <w:p w14:paraId="332E27AB">
      <w:pPr>
        <w:spacing w:line="400" w:lineRule="exact"/>
        <w:ind w:firstLine="420" w:firstLineChars="200"/>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 xml:space="preserve">    电话： </w:t>
      </w:r>
      <w:permStart w:id="64" w:edGrp="everyone"/>
    </w:p>
    <w:permEnd w:id="64"/>
    <w:p w14:paraId="42161620">
      <w:pPr>
        <w:spacing w:line="400" w:lineRule="exact"/>
        <w:ind w:firstLine="420" w:firstLineChars="200"/>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 xml:space="preserve">    邮编：</w:t>
      </w:r>
      <w:permStart w:id="65" w:edGrp="everyone"/>
      <w:r>
        <w:rPr>
          <w:rFonts w:hint="eastAsia" w:ascii="仿宋" w:hAnsi="仿宋" w:eastAsia="仿宋" w:cs="仿宋"/>
          <w:color w:val="auto"/>
          <w:sz w:val="21"/>
          <w:szCs w:val="21"/>
          <w:highlight w:val="none"/>
        </w:rPr>
        <w:t xml:space="preserve"> </w:t>
      </w:r>
    </w:p>
    <w:permEnd w:id="65"/>
    <w:p w14:paraId="12F875EC">
      <w:pPr>
        <w:spacing w:line="400" w:lineRule="exact"/>
        <w:ind w:firstLine="420" w:firstLineChars="200"/>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 xml:space="preserve">    日期</w:t>
      </w:r>
      <w:r>
        <w:rPr>
          <w:rFonts w:hint="eastAsia" w:ascii="仿宋" w:hAnsi="仿宋" w:eastAsia="仿宋" w:cs="仿宋"/>
          <w:color w:val="auto"/>
          <w:sz w:val="21"/>
          <w:szCs w:val="21"/>
          <w:highlight w:val="none"/>
          <w:lang w:eastAsia="zh-CN"/>
        </w:rPr>
        <w:t>：</w:t>
      </w:r>
      <w:permStart w:id="66" w:edGrp="everyone"/>
    </w:p>
    <w:permEnd w:id="66"/>
    <w:p w14:paraId="409C79E6">
      <w:pPr>
        <w:jc w:val="center"/>
        <w:rPr>
          <w:rFonts w:hint="eastAsia" w:ascii="仿宋" w:hAnsi="仿宋" w:eastAsia="仿宋" w:cs="仿宋"/>
          <w:b/>
          <w:color w:val="auto"/>
          <w:sz w:val="32"/>
          <w:szCs w:val="32"/>
          <w:highlight w:val="none"/>
        </w:rPr>
      </w:pPr>
    </w:p>
    <w:p w14:paraId="0D04A226">
      <w:pPr>
        <w:pStyle w:val="57"/>
        <w:rPr>
          <w:rFonts w:hint="eastAsia" w:ascii="仿宋" w:hAnsi="仿宋" w:eastAsia="仿宋" w:cs="仿宋"/>
          <w:b w:val="0"/>
          <w:color w:val="auto"/>
          <w:sz w:val="32"/>
          <w:szCs w:val="32"/>
          <w:highlight w:val="none"/>
        </w:rPr>
      </w:pPr>
    </w:p>
    <w:p w14:paraId="4EEC9C6B">
      <w:pPr>
        <w:pStyle w:val="57"/>
        <w:rPr>
          <w:rFonts w:hint="eastAsia" w:ascii="仿宋" w:hAnsi="仿宋" w:eastAsia="仿宋" w:cs="仿宋"/>
          <w:b w:val="0"/>
          <w:color w:val="auto"/>
          <w:sz w:val="32"/>
          <w:szCs w:val="32"/>
          <w:highlight w:val="none"/>
        </w:rPr>
      </w:pPr>
    </w:p>
    <w:p w14:paraId="070C2895">
      <w:pPr>
        <w:jc w:val="center"/>
        <w:rPr>
          <w:rFonts w:hint="eastAsia" w:ascii="仿宋" w:hAnsi="仿宋" w:eastAsia="仿宋" w:cs="仿宋"/>
          <w:b/>
          <w:color w:val="auto"/>
          <w:sz w:val="32"/>
          <w:szCs w:val="32"/>
          <w:highlight w:val="none"/>
        </w:rPr>
      </w:pPr>
    </w:p>
    <w:p w14:paraId="53F2DEAD">
      <w:pPr>
        <w:jc w:val="center"/>
        <w:rPr>
          <w:rFonts w:hint="eastAsia" w:ascii="仿宋" w:hAnsi="仿宋" w:eastAsia="仿宋" w:cs="仿宋"/>
          <w:b/>
          <w:color w:val="auto"/>
          <w:sz w:val="32"/>
          <w:szCs w:val="32"/>
          <w:highlight w:val="none"/>
        </w:rPr>
      </w:pPr>
    </w:p>
    <w:p w14:paraId="0239066F">
      <w:pPr>
        <w:pStyle w:val="57"/>
        <w:rPr>
          <w:rFonts w:hint="eastAsia" w:ascii="仿宋" w:hAnsi="仿宋" w:eastAsia="仿宋" w:cs="仿宋"/>
          <w:color w:val="auto"/>
        </w:rPr>
      </w:pPr>
    </w:p>
    <w:p w14:paraId="311838A4">
      <w:pPr>
        <w:pStyle w:val="57"/>
        <w:rPr>
          <w:rFonts w:hint="eastAsia" w:ascii="仿宋" w:hAnsi="仿宋" w:eastAsia="仿宋" w:cs="仿宋"/>
          <w:color w:val="auto"/>
        </w:rPr>
      </w:pPr>
    </w:p>
    <w:p w14:paraId="075937E3">
      <w:pPr>
        <w:pStyle w:val="57"/>
        <w:rPr>
          <w:rFonts w:hint="eastAsia" w:ascii="仿宋" w:hAnsi="仿宋" w:eastAsia="仿宋" w:cs="仿宋"/>
          <w:color w:val="auto"/>
        </w:rPr>
      </w:pPr>
    </w:p>
    <w:p w14:paraId="6AD7A77A">
      <w:pPr>
        <w:pStyle w:val="57"/>
        <w:rPr>
          <w:rFonts w:hint="eastAsia" w:ascii="仿宋" w:hAnsi="仿宋" w:eastAsia="仿宋" w:cs="仿宋"/>
          <w:color w:val="auto"/>
        </w:rPr>
      </w:pPr>
    </w:p>
    <w:p w14:paraId="20E2D152">
      <w:pPr>
        <w:pStyle w:val="9"/>
        <w:rPr>
          <w:rFonts w:hint="eastAsia" w:ascii="仿宋" w:hAnsi="仿宋" w:eastAsia="仿宋" w:cs="仿宋"/>
          <w:color w:val="auto"/>
          <w:highlight w:val="none"/>
        </w:rPr>
      </w:pPr>
    </w:p>
    <w:p w14:paraId="2A84A5C1">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二、已标价的投标报价表</w:t>
      </w:r>
    </w:p>
    <w:p w14:paraId="4094CE17">
      <w:pPr>
        <w:adjustRightInd w:val="0"/>
        <w:snapToGrid w:val="0"/>
        <w:spacing w:before="62" w:beforeLines="20" w:after="62" w:afterLines="20" w:line="540" w:lineRule="exact"/>
        <w:ind w:firstLine="2880" w:firstLineChars="1200"/>
        <w:rPr>
          <w:rFonts w:hint="default" w:ascii="仿宋" w:hAnsi="仿宋" w:eastAsia="仿宋" w:cs="仿宋"/>
          <w:color w:val="auto"/>
          <w:sz w:val="24"/>
          <w:szCs w:val="24"/>
          <w:highlight w:val="none"/>
          <w:lang w:val="en-US" w:eastAsia="zh-CN"/>
        </w:rPr>
      </w:pPr>
      <w:permStart w:id="67" w:edGrp="everyone"/>
      <w:r>
        <w:rPr>
          <w:rFonts w:hint="eastAsia" w:ascii="仿宋" w:hAnsi="仿宋" w:eastAsia="仿宋" w:cs="仿宋"/>
          <w:color w:val="auto"/>
          <w:sz w:val="24"/>
          <w:szCs w:val="24"/>
          <w:highlight w:val="none"/>
          <w:lang w:val="en-US" w:eastAsia="zh-CN"/>
        </w:rPr>
        <w:t>详见报价清单</w:t>
      </w:r>
    </w:p>
    <w:permEnd w:id="67"/>
    <w:p w14:paraId="45248CD1">
      <w:pPr>
        <w:spacing w:line="360" w:lineRule="auto"/>
        <w:rPr>
          <w:rFonts w:hint="eastAsia" w:ascii="仿宋" w:hAnsi="仿宋" w:eastAsia="仿宋" w:cs="仿宋"/>
          <w:color w:val="auto"/>
          <w:szCs w:val="21"/>
          <w:highlight w:val="none"/>
        </w:rPr>
      </w:pPr>
    </w:p>
    <w:p w14:paraId="77A5ABA0">
      <w:pPr>
        <w:spacing w:line="340" w:lineRule="exact"/>
        <w:rPr>
          <w:rFonts w:hint="eastAsia" w:ascii="仿宋" w:hAnsi="仿宋" w:eastAsia="仿宋" w:cs="仿宋"/>
          <w:b/>
          <w:color w:val="auto"/>
          <w:sz w:val="36"/>
          <w:szCs w:val="36"/>
          <w:highlight w:val="none"/>
        </w:rPr>
      </w:pPr>
    </w:p>
    <w:p w14:paraId="0AAFB555">
      <w:pPr>
        <w:jc w:val="center"/>
        <w:rPr>
          <w:rFonts w:hint="eastAsia" w:ascii="仿宋" w:hAnsi="仿宋" w:eastAsia="仿宋" w:cs="仿宋"/>
          <w:b/>
          <w:color w:val="auto"/>
          <w:sz w:val="32"/>
          <w:szCs w:val="32"/>
          <w:highlight w:val="none"/>
        </w:rPr>
      </w:pPr>
    </w:p>
    <w:p w14:paraId="16792FAB">
      <w:pPr>
        <w:jc w:val="center"/>
        <w:rPr>
          <w:rFonts w:hint="eastAsia" w:ascii="仿宋" w:hAnsi="仿宋" w:eastAsia="仿宋" w:cs="仿宋"/>
          <w:b/>
          <w:color w:val="auto"/>
          <w:sz w:val="32"/>
          <w:szCs w:val="32"/>
          <w:highlight w:val="none"/>
        </w:rPr>
      </w:pPr>
      <w:permStart w:id="68" w:edGrp="everyone"/>
      <w:permEnd w:id="68"/>
    </w:p>
    <w:p w14:paraId="7431C172">
      <w:pPr>
        <w:jc w:val="center"/>
        <w:rPr>
          <w:rFonts w:hint="eastAsia" w:ascii="仿宋" w:hAnsi="仿宋" w:eastAsia="仿宋" w:cs="仿宋"/>
          <w:b/>
          <w:color w:val="auto"/>
          <w:sz w:val="32"/>
          <w:szCs w:val="32"/>
          <w:highlight w:val="none"/>
        </w:rPr>
      </w:pPr>
    </w:p>
    <w:p w14:paraId="4960043D">
      <w:pPr>
        <w:jc w:val="center"/>
        <w:rPr>
          <w:rFonts w:hint="eastAsia" w:ascii="仿宋" w:hAnsi="仿宋" w:eastAsia="仿宋" w:cs="仿宋"/>
          <w:b/>
          <w:color w:val="auto"/>
          <w:sz w:val="32"/>
          <w:szCs w:val="32"/>
          <w:highlight w:val="none"/>
        </w:rPr>
      </w:pPr>
    </w:p>
    <w:p w14:paraId="5204D38B">
      <w:pPr>
        <w:jc w:val="center"/>
        <w:rPr>
          <w:rFonts w:hint="eastAsia" w:ascii="仿宋" w:hAnsi="仿宋" w:eastAsia="仿宋" w:cs="仿宋"/>
          <w:b/>
          <w:color w:val="auto"/>
          <w:sz w:val="32"/>
          <w:szCs w:val="32"/>
          <w:highlight w:val="none"/>
        </w:rPr>
      </w:pPr>
    </w:p>
    <w:p w14:paraId="78D4F765">
      <w:pPr>
        <w:jc w:val="center"/>
        <w:rPr>
          <w:rFonts w:hint="eastAsia" w:ascii="仿宋" w:hAnsi="仿宋" w:eastAsia="仿宋" w:cs="仿宋"/>
          <w:b/>
          <w:color w:val="auto"/>
          <w:sz w:val="32"/>
          <w:szCs w:val="32"/>
          <w:highlight w:val="none"/>
        </w:rPr>
      </w:pPr>
    </w:p>
    <w:p w14:paraId="1BB806A5">
      <w:pPr>
        <w:jc w:val="center"/>
        <w:rPr>
          <w:rFonts w:hint="eastAsia" w:ascii="仿宋" w:hAnsi="仿宋" w:eastAsia="仿宋" w:cs="仿宋"/>
          <w:b/>
          <w:color w:val="auto"/>
          <w:sz w:val="32"/>
          <w:szCs w:val="32"/>
          <w:highlight w:val="none"/>
        </w:rPr>
      </w:pPr>
    </w:p>
    <w:p w14:paraId="3635C3EA">
      <w:pPr>
        <w:jc w:val="center"/>
        <w:rPr>
          <w:rFonts w:hint="eastAsia" w:ascii="仿宋" w:hAnsi="仿宋" w:eastAsia="仿宋" w:cs="仿宋"/>
          <w:b/>
          <w:color w:val="auto"/>
          <w:sz w:val="32"/>
          <w:szCs w:val="32"/>
          <w:highlight w:val="none"/>
        </w:rPr>
      </w:pPr>
    </w:p>
    <w:p w14:paraId="4F95913E">
      <w:pPr>
        <w:jc w:val="center"/>
        <w:rPr>
          <w:rFonts w:hint="eastAsia" w:ascii="仿宋" w:hAnsi="仿宋" w:eastAsia="仿宋" w:cs="仿宋"/>
          <w:b/>
          <w:color w:val="auto"/>
          <w:sz w:val="32"/>
          <w:szCs w:val="32"/>
          <w:highlight w:val="none"/>
        </w:rPr>
      </w:pPr>
    </w:p>
    <w:p w14:paraId="70A57619">
      <w:pPr>
        <w:jc w:val="center"/>
        <w:rPr>
          <w:rFonts w:hint="eastAsia" w:ascii="仿宋" w:hAnsi="仿宋" w:eastAsia="仿宋" w:cs="仿宋"/>
          <w:b/>
          <w:color w:val="auto"/>
          <w:sz w:val="32"/>
          <w:szCs w:val="32"/>
          <w:highlight w:val="none"/>
        </w:rPr>
      </w:pPr>
    </w:p>
    <w:p w14:paraId="3968CBC6">
      <w:pPr>
        <w:jc w:val="center"/>
        <w:rPr>
          <w:rFonts w:hint="eastAsia" w:ascii="仿宋" w:hAnsi="仿宋" w:eastAsia="仿宋" w:cs="仿宋"/>
          <w:b/>
          <w:color w:val="auto"/>
          <w:sz w:val="32"/>
          <w:szCs w:val="32"/>
          <w:highlight w:val="none"/>
        </w:rPr>
      </w:pPr>
    </w:p>
    <w:p w14:paraId="76D98569">
      <w:pPr>
        <w:jc w:val="center"/>
        <w:rPr>
          <w:rFonts w:hint="eastAsia" w:ascii="仿宋" w:hAnsi="仿宋" w:eastAsia="仿宋" w:cs="仿宋"/>
          <w:b/>
          <w:color w:val="auto"/>
          <w:sz w:val="32"/>
          <w:szCs w:val="32"/>
          <w:highlight w:val="none"/>
        </w:rPr>
      </w:pPr>
    </w:p>
    <w:p w14:paraId="3EA5B254">
      <w:pPr>
        <w:jc w:val="center"/>
        <w:rPr>
          <w:rFonts w:hint="eastAsia" w:ascii="仿宋" w:hAnsi="仿宋" w:eastAsia="仿宋" w:cs="仿宋"/>
          <w:b/>
          <w:color w:val="auto"/>
          <w:sz w:val="32"/>
          <w:szCs w:val="32"/>
          <w:highlight w:val="none"/>
        </w:rPr>
      </w:pPr>
    </w:p>
    <w:p w14:paraId="2B097B3D">
      <w:pPr>
        <w:pStyle w:val="9"/>
        <w:rPr>
          <w:rFonts w:hint="eastAsia" w:ascii="仿宋" w:hAnsi="仿宋" w:eastAsia="仿宋" w:cs="仿宋"/>
          <w:b/>
          <w:color w:val="auto"/>
          <w:sz w:val="32"/>
          <w:szCs w:val="32"/>
          <w:highlight w:val="none"/>
        </w:rPr>
      </w:pPr>
    </w:p>
    <w:p w14:paraId="71C6B7CC">
      <w:pPr>
        <w:rPr>
          <w:rFonts w:hint="eastAsia" w:ascii="仿宋" w:hAnsi="仿宋" w:eastAsia="仿宋" w:cs="仿宋"/>
          <w:b/>
          <w:color w:val="auto"/>
          <w:sz w:val="32"/>
          <w:szCs w:val="32"/>
          <w:highlight w:val="none"/>
        </w:rPr>
      </w:pPr>
    </w:p>
    <w:p w14:paraId="6979558C">
      <w:pPr>
        <w:pStyle w:val="9"/>
        <w:rPr>
          <w:rFonts w:hint="eastAsia" w:ascii="仿宋" w:hAnsi="仿宋" w:eastAsia="仿宋" w:cs="仿宋"/>
          <w:b/>
          <w:color w:val="auto"/>
          <w:sz w:val="32"/>
          <w:szCs w:val="32"/>
          <w:highlight w:val="none"/>
        </w:rPr>
      </w:pPr>
    </w:p>
    <w:p w14:paraId="5CAFC76B">
      <w:pPr>
        <w:rPr>
          <w:rFonts w:hint="eastAsia" w:ascii="仿宋" w:hAnsi="仿宋" w:eastAsia="仿宋" w:cs="仿宋"/>
          <w:b/>
          <w:color w:val="auto"/>
          <w:sz w:val="32"/>
          <w:szCs w:val="32"/>
          <w:highlight w:val="none"/>
        </w:rPr>
      </w:pPr>
    </w:p>
    <w:p w14:paraId="353637AC">
      <w:pPr>
        <w:pStyle w:val="9"/>
        <w:rPr>
          <w:rFonts w:hint="eastAsia" w:ascii="仿宋" w:hAnsi="仿宋" w:eastAsia="仿宋" w:cs="仿宋"/>
          <w:b/>
          <w:color w:val="auto"/>
          <w:sz w:val="32"/>
          <w:szCs w:val="32"/>
          <w:highlight w:val="none"/>
        </w:rPr>
      </w:pPr>
    </w:p>
    <w:p w14:paraId="68E6862F">
      <w:pPr>
        <w:rPr>
          <w:rFonts w:hint="eastAsia" w:ascii="仿宋" w:hAnsi="仿宋" w:eastAsia="仿宋" w:cs="仿宋"/>
          <w:b/>
          <w:color w:val="auto"/>
          <w:sz w:val="32"/>
          <w:szCs w:val="32"/>
          <w:highlight w:val="none"/>
        </w:rPr>
      </w:pPr>
    </w:p>
    <w:p w14:paraId="7385213D">
      <w:pPr>
        <w:pStyle w:val="9"/>
        <w:rPr>
          <w:rFonts w:hint="eastAsia" w:ascii="仿宋" w:hAnsi="仿宋" w:eastAsia="仿宋" w:cs="仿宋"/>
          <w:b/>
          <w:color w:val="auto"/>
          <w:sz w:val="32"/>
          <w:szCs w:val="32"/>
          <w:highlight w:val="none"/>
        </w:rPr>
      </w:pPr>
    </w:p>
    <w:p w14:paraId="01602097">
      <w:pPr>
        <w:rPr>
          <w:rFonts w:hint="eastAsia" w:ascii="仿宋" w:hAnsi="仿宋" w:eastAsia="仿宋" w:cs="仿宋"/>
          <w:color w:val="auto"/>
          <w:highlight w:val="none"/>
        </w:rPr>
      </w:pPr>
    </w:p>
    <w:p w14:paraId="1CAB67E5">
      <w:pPr>
        <w:jc w:val="center"/>
        <w:rPr>
          <w:rFonts w:hint="eastAsia" w:ascii="仿宋" w:hAnsi="仿宋" w:eastAsia="仿宋" w:cs="仿宋"/>
          <w:b/>
          <w:color w:val="auto"/>
          <w:sz w:val="32"/>
          <w:szCs w:val="32"/>
          <w:highlight w:val="none"/>
        </w:rPr>
      </w:pPr>
    </w:p>
    <w:p w14:paraId="0A0A0369">
      <w:pPr>
        <w:jc w:val="center"/>
        <w:rPr>
          <w:rFonts w:hint="eastAsia" w:ascii="仿宋" w:hAnsi="仿宋" w:eastAsia="仿宋" w:cs="仿宋"/>
          <w:b/>
          <w:color w:val="auto"/>
          <w:sz w:val="32"/>
          <w:szCs w:val="32"/>
          <w:highlight w:val="none"/>
        </w:rPr>
      </w:pPr>
    </w:p>
    <w:p w14:paraId="14AC9D04">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p>
    <w:p w14:paraId="674CBBBA">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p>
    <w:p w14:paraId="7C5C0D9B">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p>
    <w:p w14:paraId="4047CFE1">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p>
    <w:p w14:paraId="20148700">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p>
    <w:p w14:paraId="3C2C504B">
      <w:pPr>
        <w:pStyle w:val="9"/>
        <w:rPr>
          <w:rFonts w:hint="eastAsia" w:ascii="仿宋" w:hAnsi="仿宋" w:eastAsia="仿宋" w:cs="仿宋"/>
          <w:b/>
          <w:bCs/>
          <w:color w:val="auto"/>
          <w:kern w:val="0"/>
          <w:sz w:val="36"/>
          <w:szCs w:val="22"/>
          <w:highlight w:val="none"/>
        </w:rPr>
      </w:pPr>
    </w:p>
    <w:p w14:paraId="29D5F012">
      <w:pPr>
        <w:rPr>
          <w:rFonts w:hint="eastAsia" w:ascii="仿宋" w:hAnsi="仿宋" w:eastAsia="仿宋" w:cs="仿宋"/>
          <w:b/>
          <w:bCs/>
          <w:color w:val="auto"/>
          <w:kern w:val="0"/>
          <w:sz w:val="36"/>
          <w:szCs w:val="22"/>
          <w:highlight w:val="none"/>
        </w:rPr>
      </w:pPr>
    </w:p>
    <w:p w14:paraId="2AA83B92">
      <w:pPr>
        <w:pStyle w:val="9"/>
        <w:rPr>
          <w:rFonts w:hint="eastAsia" w:ascii="仿宋" w:hAnsi="仿宋" w:eastAsia="仿宋" w:cs="仿宋"/>
          <w:b/>
          <w:bCs/>
          <w:color w:val="auto"/>
          <w:kern w:val="0"/>
          <w:sz w:val="36"/>
          <w:szCs w:val="22"/>
          <w:highlight w:val="none"/>
        </w:rPr>
      </w:pPr>
    </w:p>
    <w:p w14:paraId="3F13D8AF">
      <w:pPr>
        <w:rPr>
          <w:rFonts w:hint="eastAsia" w:ascii="仿宋" w:hAnsi="仿宋" w:eastAsia="仿宋" w:cs="仿宋"/>
          <w:b/>
          <w:bCs/>
          <w:color w:val="auto"/>
          <w:kern w:val="0"/>
          <w:sz w:val="36"/>
          <w:szCs w:val="22"/>
          <w:highlight w:val="none"/>
        </w:rPr>
      </w:pPr>
    </w:p>
    <w:p w14:paraId="00287581">
      <w:pPr>
        <w:pStyle w:val="9"/>
        <w:rPr>
          <w:rFonts w:hint="eastAsia" w:ascii="仿宋" w:hAnsi="仿宋" w:eastAsia="仿宋" w:cs="仿宋"/>
          <w:b/>
          <w:bCs/>
          <w:color w:val="auto"/>
          <w:kern w:val="0"/>
          <w:sz w:val="36"/>
          <w:szCs w:val="22"/>
          <w:highlight w:val="none"/>
        </w:rPr>
      </w:pPr>
    </w:p>
    <w:p w14:paraId="34ECFE5A">
      <w:pPr>
        <w:rPr>
          <w:rFonts w:hint="eastAsia" w:ascii="仿宋" w:hAnsi="仿宋" w:eastAsia="仿宋" w:cs="仿宋"/>
          <w:b/>
          <w:bCs/>
          <w:color w:val="auto"/>
          <w:kern w:val="0"/>
          <w:sz w:val="36"/>
          <w:szCs w:val="22"/>
          <w:highlight w:val="none"/>
        </w:rPr>
      </w:pPr>
    </w:p>
    <w:p w14:paraId="0BA682F6">
      <w:pPr>
        <w:pStyle w:val="9"/>
        <w:rPr>
          <w:rFonts w:hint="eastAsia" w:ascii="仿宋" w:hAnsi="仿宋" w:eastAsia="仿宋" w:cs="仿宋"/>
          <w:b/>
          <w:bCs/>
          <w:color w:val="auto"/>
          <w:kern w:val="0"/>
          <w:sz w:val="36"/>
          <w:szCs w:val="22"/>
          <w:highlight w:val="none"/>
        </w:rPr>
      </w:pPr>
    </w:p>
    <w:p w14:paraId="01E33811">
      <w:pPr>
        <w:rPr>
          <w:rFonts w:hint="eastAsia" w:ascii="仿宋" w:hAnsi="仿宋" w:eastAsia="仿宋" w:cs="仿宋"/>
          <w:b/>
          <w:bCs/>
          <w:color w:val="auto"/>
          <w:kern w:val="0"/>
          <w:sz w:val="36"/>
          <w:szCs w:val="22"/>
          <w:highlight w:val="none"/>
        </w:rPr>
      </w:pPr>
    </w:p>
    <w:p w14:paraId="346824B9">
      <w:pPr>
        <w:pStyle w:val="9"/>
        <w:rPr>
          <w:rFonts w:hint="eastAsia" w:ascii="仿宋" w:hAnsi="仿宋" w:eastAsia="仿宋" w:cs="仿宋"/>
          <w:b/>
          <w:bCs/>
          <w:color w:val="auto"/>
          <w:kern w:val="0"/>
          <w:sz w:val="36"/>
          <w:szCs w:val="22"/>
          <w:highlight w:val="none"/>
        </w:rPr>
      </w:pPr>
    </w:p>
    <w:p w14:paraId="38BD791F">
      <w:pPr>
        <w:rPr>
          <w:rFonts w:hint="eastAsia"/>
        </w:rPr>
      </w:pPr>
    </w:p>
    <w:p w14:paraId="06306E60">
      <w:pPr>
        <w:autoSpaceDE w:val="0"/>
        <w:autoSpaceDN w:val="0"/>
        <w:adjustRightInd w:val="0"/>
        <w:snapToGrid w:val="0"/>
        <w:spacing w:line="360" w:lineRule="auto"/>
        <w:jc w:val="center"/>
        <w:rPr>
          <w:rFonts w:hint="eastAsia" w:ascii="仿宋" w:hAnsi="仿宋" w:eastAsia="仿宋" w:cs="仿宋"/>
          <w:b/>
          <w:bCs/>
          <w:color w:val="auto"/>
          <w:kern w:val="0"/>
          <w:sz w:val="36"/>
          <w:szCs w:val="22"/>
          <w:highlight w:val="none"/>
        </w:rPr>
      </w:pPr>
      <w:r>
        <w:rPr>
          <w:rFonts w:hint="eastAsia" w:ascii="仿宋" w:hAnsi="仿宋" w:eastAsia="仿宋" w:cs="仿宋"/>
          <w:b/>
          <w:bCs/>
          <w:color w:val="auto"/>
          <w:kern w:val="0"/>
          <w:sz w:val="36"/>
          <w:szCs w:val="22"/>
          <w:highlight w:val="none"/>
        </w:rPr>
        <w:t>技</w:t>
      </w:r>
      <w:r>
        <w:rPr>
          <w:rFonts w:hint="eastAsia" w:ascii="仿宋" w:hAnsi="仿宋" w:eastAsia="仿宋" w:cs="仿宋"/>
          <w:b/>
          <w:bCs/>
          <w:color w:val="auto"/>
          <w:kern w:val="0"/>
          <w:sz w:val="36"/>
          <w:szCs w:val="22"/>
          <w:highlight w:val="none"/>
          <w:lang w:val="en-US" w:eastAsia="zh-CN"/>
        </w:rPr>
        <w:t xml:space="preserve"> </w:t>
      </w:r>
      <w:r>
        <w:rPr>
          <w:rFonts w:hint="eastAsia" w:ascii="仿宋" w:hAnsi="仿宋" w:eastAsia="仿宋" w:cs="仿宋"/>
          <w:b/>
          <w:bCs/>
          <w:color w:val="auto"/>
          <w:kern w:val="0"/>
          <w:sz w:val="36"/>
          <w:szCs w:val="22"/>
          <w:highlight w:val="none"/>
        </w:rPr>
        <w:t>术</w:t>
      </w:r>
      <w:r>
        <w:rPr>
          <w:rFonts w:hint="eastAsia" w:ascii="仿宋" w:hAnsi="仿宋" w:eastAsia="仿宋" w:cs="仿宋"/>
          <w:b/>
          <w:bCs/>
          <w:color w:val="auto"/>
          <w:kern w:val="0"/>
          <w:sz w:val="36"/>
          <w:szCs w:val="22"/>
          <w:highlight w:val="none"/>
          <w:lang w:val="en-US" w:eastAsia="zh-CN"/>
        </w:rPr>
        <w:t xml:space="preserve"> </w:t>
      </w:r>
      <w:r>
        <w:rPr>
          <w:rFonts w:hint="eastAsia" w:ascii="仿宋" w:hAnsi="仿宋" w:eastAsia="仿宋" w:cs="仿宋"/>
          <w:b/>
          <w:bCs/>
          <w:color w:val="auto"/>
          <w:kern w:val="0"/>
          <w:sz w:val="36"/>
          <w:szCs w:val="22"/>
          <w:highlight w:val="none"/>
        </w:rPr>
        <w:t>标</w:t>
      </w:r>
    </w:p>
    <w:p w14:paraId="3926FD4D">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09D2BEB8">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5B8F214E">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326FC404">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717E7239">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27990B08">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4DE50640">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07BE8804">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679A19CD">
      <w:pPr>
        <w:autoSpaceDE w:val="0"/>
        <w:autoSpaceDN w:val="0"/>
        <w:adjustRightInd w:val="0"/>
        <w:snapToGrid w:val="0"/>
        <w:spacing w:line="360" w:lineRule="auto"/>
        <w:jc w:val="left"/>
        <w:rPr>
          <w:rFonts w:hint="eastAsia" w:ascii="仿宋" w:hAnsi="仿宋" w:eastAsia="仿宋" w:cs="仿宋"/>
          <w:b/>
          <w:bCs/>
          <w:color w:val="auto"/>
          <w:kern w:val="0"/>
          <w:sz w:val="20"/>
          <w:szCs w:val="22"/>
          <w:highlight w:val="none"/>
        </w:rPr>
      </w:pPr>
    </w:p>
    <w:p w14:paraId="10ABEF50">
      <w:pPr>
        <w:autoSpaceDE w:val="0"/>
        <w:autoSpaceDN w:val="0"/>
        <w:adjustRightInd w:val="0"/>
        <w:snapToGrid w:val="0"/>
        <w:spacing w:line="360" w:lineRule="auto"/>
        <w:jc w:val="left"/>
        <w:rPr>
          <w:rFonts w:hint="eastAsia" w:ascii="仿宋" w:hAnsi="仿宋" w:eastAsia="仿宋" w:cs="仿宋"/>
          <w:b/>
          <w:bCs/>
          <w:color w:val="auto"/>
          <w:kern w:val="0"/>
          <w:sz w:val="32"/>
          <w:szCs w:val="22"/>
          <w:highlight w:val="none"/>
        </w:rPr>
      </w:pPr>
    </w:p>
    <w:p w14:paraId="4619DAEF">
      <w:pPr>
        <w:autoSpaceDE w:val="0"/>
        <w:autoSpaceDN w:val="0"/>
        <w:adjustRightInd w:val="0"/>
        <w:snapToGrid w:val="0"/>
        <w:spacing w:line="360" w:lineRule="auto"/>
        <w:jc w:val="left"/>
        <w:rPr>
          <w:rFonts w:hint="eastAsia" w:ascii="仿宋" w:hAnsi="仿宋" w:eastAsia="仿宋" w:cs="仿宋"/>
          <w:b/>
          <w:bCs/>
          <w:color w:val="auto"/>
          <w:kern w:val="0"/>
          <w:sz w:val="32"/>
          <w:szCs w:val="22"/>
          <w:highlight w:val="none"/>
        </w:rPr>
      </w:pPr>
    </w:p>
    <w:p w14:paraId="7A08125B">
      <w:pPr>
        <w:pStyle w:val="9"/>
        <w:rPr>
          <w:rFonts w:hint="eastAsia" w:ascii="仿宋" w:hAnsi="仿宋" w:eastAsia="仿宋" w:cs="仿宋"/>
          <w:b/>
          <w:bCs/>
          <w:color w:val="auto"/>
          <w:kern w:val="0"/>
          <w:sz w:val="32"/>
          <w:szCs w:val="22"/>
          <w:highlight w:val="none"/>
        </w:rPr>
      </w:pPr>
    </w:p>
    <w:p w14:paraId="270975C4">
      <w:pPr>
        <w:rPr>
          <w:rFonts w:hint="eastAsia" w:ascii="仿宋" w:hAnsi="仿宋" w:eastAsia="仿宋" w:cs="仿宋"/>
          <w:b/>
          <w:bCs/>
          <w:color w:val="auto"/>
          <w:kern w:val="0"/>
          <w:sz w:val="32"/>
          <w:szCs w:val="22"/>
          <w:highlight w:val="none"/>
        </w:rPr>
      </w:pPr>
    </w:p>
    <w:p w14:paraId="7F661C8B">
      <w:pPr>
        <w:pStyle w:val="9"/>
        <w:rPr>
          <w:rFonts w:hint="eastAsia" w:ascii="仿宋" w:hAnsi="仿宋" w:eastAsia="仿宋" w:cs="仿宋"/>
          <w:b/>
          <w:bCs/>
          <w:color w:val="auto"/>
          <w:kern w:val="0"/>
          <w:sz w:val="32"/>
          <w:szCs w:val="22"/>
          <w:highlight w:val="none"/>
        </w:rPr>
      </w:pPr>
    </w:p>
    <w:p w14:paraId="0CC6A086">
      <w:pPr>
        <w:rPr>
          <w:rFonts w:hint="eastAsia" w:ascii="仿宋" w:hAnsi="仿宋" w:eastAsia="仿宋" w:cs="仿宋"/>
          <w:b/>
          <w:bCs/>
          <w:color w:val="auto"/>
          <w:kern w:val="0"/>
          <w:sz w:val="32"/>
          <w:szCs w:val="22"/>
          <w:highlight w:val="none"/>
        </w:rPr>
      </w:pPr>
    </w:p>
    <w:p w14:paraId="72E2D3CA">
      <w:pPr>
        <w:pStyle w:val="9"/>
        <w:rPr>
          <w:rFonts w:hint="eastAsia"/>
        </w:rPr>
      </w:pPr>
    </w:p>
    <w:p w14:paraId="60938CE2">
      <w:pPr>
        <w:rPr>
          <w:rFonts w:hint="eastAsia" w:ascii="仿宋" w:hAnsi="仿宋" w:eastAsia="仿宋" w:cs="仿宋"/>
          <w:b/>
          <w:bCs/>
          <w:color w:val="auto"/>
          <w:kern w:val="0"/>
          <w:sz w:val="32"/>
          <w:szCs w:val="22"/>
          <w:highlight w:val="none"/>
        </w:rPr>
      </w:pPr>
    </w:p>
    <w:p w14:paraId="0D2DA510">
      <w:pPr>
        <w:autoSpaceDE w:val="0"/>
        <w:autoSpaceDN w:val="0"/>
        <w:adjustRightInd w:val="0"/>
        <w:snapToGrid w:val="0"/>
        <w:spacing w:line="360" w:lineRule="auto"/>
        <w:jc w:val="center"/>
        <w:rPr>
          <w:rFonts w:hint="eastAsia" w:ascii="仿宋" w:hAnsi="仿宋" w:eastAsia="仿宋" w:cs="仿宋"/>
          <w:b/>
          <w:bCs/>
          <w:color w:val="auto"/>
          <w:kern w:val="0"/>
          <w:sz w:val="32"/>
          <w:szCs w:val="22"/>
          <w:highlight w:val="none"/>
        </w:rPr>
      </w:pPr>
      <w:r>
        <w:rPr>
          <w:rFonts w:hint="eastAsia" w:ascii="仿宋" w:hAnsi="仿宋" w:eastAsia="仿宋" w:cs="仿宋"/>
          <w:b/>
          <w:bCs/>
          <w:color w:val="auto"/>
          <w:kern w:val="0"/>
          <w:sz w:val="32"/>
          <w:szCs w:val="22"/>
          <w:highlight w:val="none"/>
        </w:rPr>
        <w:t>目   录</w:t>
      </w:r>
    </w:p>
    <w:p w14:paraId="03322EE8">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1、法定代表人身份证明书及授权委托书</w:t>
      </w:r>
    </w:p>
    <w:p w14:paraId="1468E688">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2、投标保证金</w:t>
      </w:r>
    </w:p>
    <w:p w14:paraId="0EBF332A">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3、投标人承诺</w:t>
      </w:r>
    </w:p>
    <w:p w14:paraId="5D1E8EF6">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4、资格审查资料</w:t>
      </w:r>
    </w:p>
    <w:p w14:paraId="262D13A4">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5、其他资料</w:t>
      </w:r>
    </w:p>
    <w:p w14:paraId="7E2E8A85">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6、供货方案</w:t>
      </w:r>
    </w:p>
    <w:p w14:paraId="4579CACD">
      <w:pPr>
        <w:spacing w:before="48" w:beforeLines="20" w:after="48" w:afterLines="20" w:line="540" w:lineRule="exact"/>
        <w:ind w:firstLine="610"/>
        <w:rPr>
          <w:rFonts w:hint="eastAsia" w:ascii="仿宋" w:hAnsi="仿宋" w:eastAsia="仿宋" w:cs="仿宋"/>
          <w:color w:val="auto"/>
          <w:sz w:val="24"/>
          <w:highlight w:val="none"/>
        </w:rPr>
      </w:pPr>
    </w:p>
    <w:p w14:paraId="202B9CE6">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080940F2">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7149BCEE">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53DFB73C">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7F064E74">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5CB0B15F">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7390F9DD">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787966AF">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13FAA399">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4FBE0090">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6276E4A5">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4F6242C8">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1D588D39">
      <w:pPr>
        <w:autoSpaceDE w:val="0"/>
        <w:autoSpaceDN w:val="0"/>
        <w:adjustRightInd w:val="0"/>
        <w:spacing w:line="360" w:lineRule="auto"/>
        <w:rPr>
          <w:rFonts w:hint="eastAsia" w:ascii="仿宋" w:hAnsi="仿宋" w:eastAsia="仿宋" w:cs="仿宋"/>
          <w:b/>
          <w:color w:val="auto"/>
          <w:sz w:val="28"/>
          <w:szCs w:val="28"/>
          <w:highlight w:val="none"/>
        </w:rPr>
      </w:pPr>
    </w:p>
    <w:p w14:paraId="6805E21C">
      <w:pPr>
        <w:pStyle w:val="9"/>
        <w:rPr>
          <w:rFonts w:hint="eastAsia" w:ascii="仿宋" w:hAnsi="仿宋" w:eastAsia="仿宋" w:cs="仿宋"/>
          <w:b/>
          <w:color w:val="auto"/>
          <w:sz w:val="28"/>
          <w:szCs w:val="28"/>
          <w:highlight w:val="none"/>
        </w:rPr>
      </w:pPr>
    </w:p>
    <w:p w14:paraId="56125009">
      <w:pPr>
        <w:rPr>
          <w:rFonts w:hint="eastAsia" w:ascii="仿宋" w:hAnsi="仿宋" w:eastAsia="仿宋" w:cs="仿宋"/>
          <w:b/>
          <w:color w:val="auto"/>
          <w:sz w:val="28"/>
          <w:szCs w:val="28"/>
          <w:highlight w:val="none"/>
        </w:rPr>
      </w:pPr>
    </w:p>
    <w:p w14:paraId="494A5821">
      <w:pPr>
        <w:pStyle w:val="9"/>
        <w:rPr>
          <w:rFonts w:hint="eastAsia" w:ascii="仿宋" w:hAnsi="仿宋" w:eastAsia="仿宋" w:cs="仿宋"/>
          <w:b/>
          <w:color w:val="auto"/>
          <w:sz w:val="28"/>
          <w:szCs w:val="28"/>
          <w:highlight w:val="none"/>
        </w:rPr>
      </w:pPr>
    </w:p>
    <w:p w14:paraId="27493CF9">
      <w:pPr>
        <w:rPr>
          <w:rFonts w:hint="eastAsia"/>
        </w:rPr>
      </w:pPr>
    </w:p>
    <w:p w14:paraId="0D1462B7">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一、法定代表人身份证明书及授权委托书</w:t>
      </w:r>
    </w:p>
    <w:p w14:paraId="4D175911">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60D4C43E">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2875DED4">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1、法定代表人身份证明书</w:t>
      </w:r>
    </w:p>
    <w:p w14:paraId="19941332">
      <w:pPr>
        <w:spacing w:before="48" w:beforeLines="20" w:after="48" w:afterLines="20" w:line="540" w:lineRule="exact"/>
        <w:rPr>
          <w:rFonts w:hint="eastAsia" w:ascii="仿宋" w:hAnsi="仿宋" w:eastAsia="仿宋" w:cs="仿宋"/>
          <w:b/>
          <w:color w:val="auto"/>
          <w:sz w:val="24"/>
          <w:highlight w:val="none"/>
        </w:rPr>
      </w:pPr>
      <w:permStart w:id="69" w:edGrp="everyone"/>
    </w:p>
    <w:p w14:paraId="56B9BCB5">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单位名称：</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 xml:space="preserve">   </w:t>
      </w:r>
    </w:p>
    <w:p w14:paraId="2E924E39">
      <w:pPr>
        <w:spacing w:before="48" w:beforeLines="20" w:after="48" w:afterLines="20" w:line="540" w:lineRule="exact"/>
        <w:ind w:firstLine="610"/>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单位性质：</w:t>
      </w:r>
      <w:r>
        <w:rPr>
          <w:rFonts w:hint="eastAsia" w:ascii="仿宋" w:hAnsi="仿宋" w:eastAsia="仿宋" w:cs="仿宋"/>
          <w:color w:val="auto"/>
          <w:sz w:val="21"/>
          <w:szCs w:val="21"/>
          <w:highlight w:val="none"/>
          <w:u w:val="single"/>
        </w:rPr>
        <w:t xml:space="preserve">                                               </w:t>
      </w:r>
    </w:p>
    <w:p w14:paraId="3D9E34E3">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地    址：</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ab/>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u w:val="single"/>
        </w:rPr>
        <w:tab/>
      </w:r>
    </w:p>
    <w:p w14:paraId="1C2BCA3C">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成立时间：</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 xml:space="preserve"> 年 </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 xml:space="preserve">月 </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日</w:t>
      </w:r>
    </w:p>
    <w:p w14:paraId="4D50CF84">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经营期限：</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ab/>
      </w:r>
    </w:p>
    <w:p w14:paraId="52EAAE3B">
      <w:pPr>
        <w:spacing w:before="48" w:beforeLines="20" w:after="48" w:afterLines="20" w:line="540" w:lineRule="exact"/>
        <w:ind w:firstLine="610"/>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姓    名：</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 xml:space="preserve">   性别：</w:t>
      </w:r>
      <w:r>
        <w:rPr>
          <w:rFonts w:hint="eastAsia" w:ascii="仿宋" w:hAnsi="仿宋" w:eastAsia="仿宋" w:cs="仿宋"/>
          <w:color w:val="auto"/>
          <w:sz w:val="21"/>
          <w:szCs w:val="21"/>
          <w:highlight w:val="none"/>
          <w:u w:val="single"/>
        </w:rPr>
        <w:t xml:space="preserve">                   </w:t>
      </w:r>
    </w:p>
    <w:p w14:paraId="0F3C71DA">
      <w:pPr>
        <w:spacing w:before="48" w:beforeLines="20" w:after="48" w:afterLines="20" w:line="540" w:lineRule="exact"/>
        <w:ind w:firstLine="610"/>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年    龄：</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 xml:space="preserve">   职务：</w:t>
      </w:r>
      <w:r>
        <w:rPr>
          <w:rFonts w:hint="eastAsia" w:ascii="仿宋" w:hAnsi="仿宋" w:eastAsia="仿宋" w:cs="仿宋"/>
          <w:color w:val="auto"/>
          <w:sz w:val="21"/>
          <w:szCs w:val="21"/>
          <w:highlight w:val="none"/>
        </w:rPr>
        <w:tab/>
      </w:r>
      <w:r>
        <w:rPr>
          <w:rFonts w:hint="eastAsia" w:ascii="仿宋" w:hAnsi="仿宋" w:eastAsia="仿宋" w:cs="仿宋"/>
          <w:color w:val="auto"/>
          <w:sz w:val="21"/>
          <w:szCs w:val="21"/>
          <w:highlight w:val="none"/>
          <w:u w:val="single"/>
        </w:rPr>
        <w:t xml:space="preserve">                   </w:t>
      </w:r>
    </w:p>
    <w:p w14:paraId="4C186D55">
      <w:pPr>
        <w:spacing w:before="48" w:beforeLines="20" w:after="48" w:afterLines="20" w:line="540" w:lineRule="exact"/>
        <w:ind w:firstLine="61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 xml:space="preserve">系  </w:t>
      </w:r>
      <w:r>
        <w:rPr>
          <w:rFonts w:hint="eastAsia" w:ascii="仿宋" w:hAnsi="仿宋" w:eastAsia="仿宋" w:cs="仿宋"/>
          <w:color w:val="auto"/>
          <w:sz w:val="21"/>
          <w:szCs w:val="21"/>
          <w:highlight w:val="none"/>
          <w:u w:val="single"/>
        </w:rPr>
        <w:t xml:space="preserve">        （投标人单位名称）        </w:t>
      </w:r>
      <w:r>
        <w:rPr>
          <w:rFonts w:hint="eastAsia" w:ascii="仿宋" w:hAnsi="仿宋" w:eastAsia="仿宋" w:cs="仿宋"/>
          <w:color w:val="auto"/>
          <w:sz w:val="21"/>
          <w:szCs w:val="21"/>
          <w:highlight w:val="none"/>
        </w:rPr>
        <w:t xml:space="preserve"> 的法定代表人。</w:t>
      </w:r>
    </w:p>
    <w:p w14:paraId="155578D8">
      <w:pPr>
        <w:spacing w:before="48" w:beforeLines="20" w:after="48" w:afterLines="20" w:line="540" w:lineRule="exact"/>
        <w:ind w:left="420" w:leftChars="200" w:firstLine="240" w:firstLineChars="100"/>
        <w:rPr>
          <w:rFonts w:hint="eastAsia" w:ascii="仿宋" w:hAnsi="仿宋" w:eastAsia="仿宋" w:cs="仿宋"/>
          <w:color w:val="auto"/>
          <w:sz w:val="24"/>
          <w:highlight w:val="none"/>
        </w:rPr>
      </w:pPr>
      <w:r>
        <w:rPr>
          <w:rFonts w:hint="eastAsia" w:ascii="仿宋" w:hAnsi="仿宋" w:eastAsia="仿宋" w:cs="仿宋"/>
          <w:color w:val="auto"/>
          <w:sz w:val="24"/>
          <w:highlight w:val="none"/>
        </w:rPr>
        <w:t>特此证明。</w:t>
      </w:r>
    </w:p>
    <w:tbl>
      <w:tblPr>
        <w:tblStyle w:val="28"/>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14:paraId="79FF8D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7244B304">
            <w:pPr>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法定代表人身份证影印件</w:t>
            </w:r>
          </w:p>
        </w:tc>
      </w:tr>
      <w:tr w14:paraId="279E7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87" w:hRule="atLeast"/>
        </w:trPr>
        <w:tc>
          <w:tcPr>
            <w:tcW w:w="4580" w:type="dxa"/>
            <w:noWrap w:val="0"/>
            <w:vAlign w:val="top"/>
          </w:tcPr>
          <w:p w14:paraId="7D950A8F">
            <w:pPr>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正面</w:t>
            </w:r>
          </w:p>
        </w:tc>
        <w:tc>
          <w:tcPr>
            <w:tcW w:w="4580" w:type="dxa"/>
            <w:noWrap w:val="0"/>
            <w:vAlign w:val="top"/>
          </w:tcPr>
          <w:p w14:paraId="7C84E0D5">
            <w:pPr>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背面</w:t>
            </w:r>
          </w:p>
        </w:tc>
      </w:tr>
      <w:permEnd w:id="69"/>
    </w:tbl>
    <w:p w14:paraId="54DB78F5">
      <w:pPr>
        <w:tabs>
          <w:tab w:val="left" w:pos="720"/>
          <w:tab w:val="left" w:pos="900"/>
        </w:tabs>
        <w:spacing w:before="48" w:beforeLines="20" w:after="48" w:afterLines="20" w:line="540" w:lineRule="exact"/>
        <w:ind w:firstLine="4560" w:firstLineChars="1900"/>
        <w:rPr>
          <w:rFonts w:hint="eastAsia" w:ascii="仿宋" w:hAnsi="仿宋" w:eastAsia="仿宋" w:cs="仿宋"/>
          <w:color w:val="auto"/>
          <w:sz w:val="24"/>
          <w:highlight w:val="none"/>
        </w:rPr>
      </w:pPr>
    </w:p>
    <w:p w14:paraId="307E099A">
      <w:pPr>
        <w:tabs>
          <w:tab w:val="left" w:pos="720"/>
          <w:tab w:val="left" w:pos="900"/>
        </w:tabs>
        <w:spacing w:before="48" w:beforeLines="20" w:after="48" w:afterLines="20" w:line="540" w:lineRule="exact"/>
        <w:ind w:firstLine="3360" w:firstLineChars="16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w:t>
      </w:r>
      <w:permStart w:id="70" w:edGrp="everyone"/>
      <w:r>
        <w:rPr>
          <w:rFonts w:hint="eastAsia" w:ascii="仿宋" w:hAnsi="仿宋" w:eastAsia="仿宋" w:cs="仿宋"/>
          <w:color w:val="auto"/>
          <w:sz w:val="21"/>
          <w:szCs w:val="21"/>
          <w:highlight w:val="none"/>
          <w:u w:val="single"/>
        </w:rPr>
        <w:t xml:space="preserve">             （盖公章）</w:t>
      </w:r>
    </w:p>
    <w:permEnd w:id="70"/>
    <w:p w14:paraId="07C07E10">
      <w:pPr>
        <w:spacing w:before="48" w:beforeLines="20" w:after="48" w:afterLines="20" w:line="540" w:lineRule="exact"/>
        <w:ind w:firstLine="3360" w:firstLineChars="1600"/>
        <w:rPr>
          <w:rFonts w:hint="eastAsia" w:ascii="仿宋" w:hAnsi="仿宋" w:eastAsia="仿宋" w:cs="仿宋"/>
          <w:b/>
          <w:color w:val="auto"/>
          <w:sz w:val="21"/>
          <w:szCs w:val="21"/>
          <w:highlight w:val="none"/>
        </w:rPr>
      </w:pPr>
      <w:r>
        <w:rPr>
          <w:rFonts w:hint="eastAsia" w:ascii="仿宋" w:hAnsi="仿宋" w:eastAsia="仿宋" w:cs="仿宋"/>
          <w:color w:val="auto"/>
          <w:sz w:val="21"/>
          <w:szCs w:val="21"/>
          <w:highlight w:val="none"/>
        </w:rPr>
        <w:t>日  期：</w:t>
      </w:r>
      <w:permStart w:id="71" w:edGrp="everyone"/>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年</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月</w:t>
      </w:r>
      <w:r>
        <w:rPr>
          <w:rFonts w:hint="eastAsia" w:ascii="仿宋" w:hAnsi="仿宋" w:eastAsia="仿宋" w:cs="仿宋"/>
          <w:color w:val="auto"/>
          <w:sz w:val="21"/>
          <w:szCs w:val="21"/>
          <w:highlight w:val="none"/>
          <w:u w:val="single"/>
        </w:rPr>
        <w:t xml:space="preserve">     </w:t>
      </w:r>
      <w:r>
        <w:rPr>
          <w:rFonts w:hint="eastAsia" w:ascii="仿宋" w:hAnsi="仿宋" w:eastAsia="仿宋" w:cs="仿宋"/>
          <w:color w:val="auto"/>
          <w:sz w:val="21"/>
          <w:szCs w:val="21"/>
          <w:highlight w:val="none"/>
        </w:rPr>
        <w:t>日</w:t>
      </w:r>
    </w:p>
    <w:permEnd w:id="71"/>
    <w:p w14:paraId="27A9B1A7">
      <w:pPr>
        <w:jc w:val="center"/>
        <w:rPr>
          <w:rFonts w:hint="eastAsia" w:ascii="仿宋" w:hAnsi="仿宋" w:eastAsia="仿宋" w:cs="仿宋"/>
          <w:b/>
          <w:color w:val="auto"/>
          <w:sz w:val="32"/>
          <w:szCs w:val="32"/>
          <w:highlight w:val="none"/>
        </w:rPr>
      </w:pPr>
    </w:p>
    <w:p w14:paraId="4A29C270">
      <w:pPr>
        <w:jc w:val="center"/>
        <w:rPr>
          <w:rFonts w:hint="eastAsia" w:ascii="仿宋" w:hAnsi="仿宋" w:eastAsia="仿宋" w:cs="仿宋"/>
          <w:b/>
          <w:color w:val="auto"/>
          <w:sz w:val="32"/>
          <w:szCs w:val="32"/>
          <w:highlight w:val="none"/>
        </w:rPr>
      </w:pPr>
    </w:p>
    <w:p w14:paraId="1E491E9A">
      <w:pPr>
        <w:pStyle w:val="9"/>
        <w:rPr>
          <w:rFonts w:hint="eastAsia"/>
        </w:rPr>
      </w:pPr>
    </w:p>
    <w:p w14:paraId="15D083B4">
      <w:pPr>
        <w:jc w:val="center"/>
        <w:rPr>
          <w:rFonts w:hint="eastAsia" w:ascii="仿宋" w:hAnsi="仿宋" w:eastAsia="仿宋" w:cs="仿宋"/>
          <w:b/>
          <w:color w:val="auto"/>
          <w:sz w:val="32"/>
          <w:szCs w:val="32"/>
          <w:highlight w:val="none"/>
        </w:rPr>
      </w:pPr>
    </w:p>
    <w:p w14:paraId="75A3A627">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2、授权委托书</w:t>
      </w:r>
    </w:p>
    <w:p w14:paraId="493ECFC6">
      <w:pPr>
        <w:adjustRightInd w:val="0"/>
        <w:snapToGrid w:val="0"/>
        <w:spacing w:line="520" w:lineRule="exact"/>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本人</w:t>
      </w:r>
      <w:permStart w:id="72" w:edGrp="everyone"/>
      <w:r>
        <w:rPr>
          <w:rFonts w:hint="eastAsia" w:ascii="仿宋" w:hAnsi="仿宋" w:eastAsia="仿宋" w:cs="仿宋"/>
          <w:color w:val="auto"/>
          <w:highlight w:val="none"/>
          <w:u w:val="single"/>
        </w:rPr>
        <w:t xml:space="preserve">       </w:t>
      </w:r>
      <w:permEnd w:id="72"/>
      <w:r>
        <w:rPr>
          <w:rFonts w:hint="eastAsia" w:ascii="仿宋" w:hAnsi="仿宋" w:eastAsia="仿宋" w:cs="仿宋"/>
          <w:color w:val="auto"/>
          <w:highlight w:val="none"/>
        </w:rPr>
        <w:t xml:space="preserve">（姓名）系 </w:t>
      </w:r>
      <w:permStart w:id="73" w:edGrp="everyone"/>
      <w:r>
        <w:rPr>
          <w:rFonts w:hint="eastAsia" w:ascii="仿宋" w:hAnsi="仿宋" w:eastAsia="仿宋" w:cs="仿宋"/>
          <w:color w:val="auto"/>
          <w:highlight w:val="none"/>
          <w:u w:val="single"/>
        </w:rPr>
        <w:t>（投 标 人 名 称）</w:t>
      </w:r>
      <w:permEnd w:id="73"/>
      <w:r>
        <w:rPr>
          <w:rFonts w:hint="eastAsia" w:ascii="仿宋" w:hAnsi="仿宋" w:eastAsia="仿宋" w:cs="仿宋"/>
          <w:color w:val="auto"/>
          <w:highlight w:val="none"/>
        </w:rPr>
        <w:t xml:space="preserve">的法定代表人，现委托的 </w:t>
      </w:r>
      <w:r>
        <w:rPr>
          <w:rFonts w:hint="eastAsia" w:ascii="仿宋" w:hAnsi="仿宋" w:eastAsia="仿宋" w:cs="仿宋"/>
          <w:color w:val="auto"/>
          <w:highlight w:val="none"/>
          <w:u w:val="single"/>
        </w:rPr>
        <w:t xml:space="preserve"> </w:t>
      </w:r>
      <w:permStart w:id="74" w:edGrp="everyone"/>
      <w:r>
        <w:rPr>
          <w:rFonts w:hint="eastAsia" w:ascii="仿宋" w:hAnsi="仿宋" w:eastAsia="仿宋" w:cs="仿宋"/>
          <w:color w:val="auto"/>
          <w:highlight w:val="none"/>
          <w:u w:val="single"/>
        </w:rPr>
        <w:t xml:space="preserve">  （姓名）</w:t>
      </w:r>
      <w:permEnd w:id="74"/>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rPr>
        <w:t>为我方代理人。代理人根据授权，以我方名义签署、澄清、说明、补正、递交、撤回、修改</w:t>
      </w:r>
      <w:permStart w:id="75" w:edGrp="everyone"/>
      <w:r>
        <w:rPr>
          <w:rFonts w:hint="eastAsia" w:ascii="仿宋" w:hAnsi="仿宋" w:eastAsia="仿宋" w:cs="仿宋"/>
          <w:color w:val="auto"/>
          <w:highlight w:val="none"/>
          <w:u w:val="single"/>
        </w:rPr>
        <w:t xml:space="preserve">             </w:t>
      </w:r>
      <w:permEnd w:id="75"/>
      <w:r>
        <w:rPr>
          <w:rFonts w:hint="eastAsia" w:ascii="仿宋" w:hAnsi="仿宋" w:eastAsia="仿宋" w:cs="仿宋"/>
          <w:color w:val="auto"/>
          <w:highlight w:val="none"/>
        </w:rPr>
        <w:t>（项目名称）投标文件，其法律后果由我方承担。</w:t>
      </w:r>
    </w:p>
    <w:p w14:paraId="18946878">
      <w:pPr>
        <w:adjustRightInd w:val="0"/>
        <w:snapToGrid w:val="0"/>
        <w:spacing w:line="520" w:lineRule="exact"/>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委托期限：自本委托书签署之日起至投标有效期满。</w:t>
      </w:r>
    </w:p>
    <w:p w14:paraId="184F0AE5">
      <w:pPr>
        <w:adjustRightInd w:val="0"/>
        <w:snapToGrid w:val="0"/>
        <w:spacing w:line="520" w:lineRule="exact"/>
        <w:ind w:left="420" w:leftChars="200"/>
        <w:rPr>
          <w:rFonts w:hint="eastAsia" w:ascii="仿宋" w:hAnsi="仿宋" w:eastAsia="仿宋" w:cs="仿宋"/>
          <w:color w:val="auto"/>
          <w:highlight w:val="none"/>
        </w:rPr>
      </w:pPr>
      <w:r>
        <w:rPr>
          <w:rFonts w:hint="eastAsia" w:ascii="仿宋" w:hAnsi="仿宋" w:eastAsia="仿宋" w:cs="仿宋"/>
          <w:color w:val="auto"/>
          <w:highlight w:val="none"/>
        </w:rPr>
        <w:t>代理人无转委托权，特此委托。</w:t>
      </w:r>
    </w:p>
    <w:p w14:paraId="6398F4DF">
      <w:pPr>
        <w:pStyle w:val="57"/>
        <w:rPr>
          <w:rFonts w:hint="eastAsia" w:ascii="仿宋" w:hAnsi="仿宋" w:eastAsia="仿宋" w:cs="仿宋"/>
          <w:color w:val="auto"/>
          <w:highlight w:val="none"/>
        </w:rPr>
      </w:pPr>
      <w:permStart w:id="76" w:edGrp="everyone"/>
    </w:p>
    <w:tbl>
      <w:tblPr>
        <w:tblStyle w:val="28"/>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14:paraId="28EC50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34E649AA">
            <w:pPr>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代理人身份证影印件</w:t>
            </w:r>
          </w:p>
        </w:tc>
      </w:tr>
      <w:tr w14:paraId="7D99F2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87" w:hRule="atLeast"/>
        </w:trPr>
        <w:tc>
          <w:tcPr>
            <w:tcW w:w="4580" w:type="dxa"/>
            <w:noWrap w:val="0"/>
            <w:vAlign w:val="top"/>
          </w:tcPr>
          <w:p w14:paraId="41EA6CBC">
            <w:pPr>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正面</w:t>
            </w:r>
          </w:p>
        </w:tc>
        <w:tc>
          <w:tcPr>
            <w:tcW w:w="4580" w:type="dxa"/>
            <w:noWrap w:val="0"/>
            <w:vAlign w:val="top"/>
          </w:tcPr>
          <w:p w14:paraId="452739A8">
            <w:pPr>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背面</w:t>
            </w:r>
          </w:p>
        </w:tc>
      </w:tr>
      <w:permEnd w:id="76"/>
    </w:tbl>
    <w:p w14:paraId="2C5AA10A">
      <w:pPr>
        <w:adjustRightInd w:val="0"/>
        <w:snapToGrid w:val="0"/>
        <w:spacing w:line="520" w:lineRule="exact"/>
        <w:jc w:val="left"/>
        <w:rPr>
          <w:rFonts w:hint="eastAsia" w:ascii="仿宋" w:hAnsi="仿宋" w:eastAsia="仿宋" w:cs="仿宋"/>
          <w:color w:val="auto"/>
          <w:highlight w:val="none"/>
        </w:rPr>
      </w:pPr>
    </w:p>
    <w:p w14:paraId="0B780591">
      <w:pPr>
        <w:adjustRightInd w:val="0"/>
        <w:snapToGrid w:val="0"/>
        <w:spacing w:line="520" w:lineRule="exact"/>
        <w:rPr>
          <w:rFonts w:hint="eastAsia" w:ascii="仿宋" w:hAnsi="仿宋" w:eastAsia="仿宋" w:cs="仿宋"/>
          <w:color w:val="auto"/>
          <w:highlight w:val="none"/>
          <w:u w:val="single"/>
        </w:rPr>
      </w:pPr>
      <w:r>
        <w:rPr>
          <w:rFonts w:hint="eastAsia" w:ascii="仿宋" w:hAnsi="仿宋" w:eastAsia="仿宋" w:cs="仿宋"/>
          <w:color w:val="auto"/>
          <w:highlight w:val="none"/>
        </w:rPr>
        <w:t>投  标  人：</w:t>
      </w:r>
      <w:r>
        <w:rPr>
          <w:rFonts w:hint="eastAsia" w:ascii="仿宋" w:hAnsi="仿宋" w:eastAsia="仿宋" w:cs="仿宋"/>
          <w:color w:val="auto"/>
          <w:highlight w:val="none"/>
          <w:u w:val="single"/>
        </w:rPr>
        <w:t xml:space="preserve">  </w:t>
      </w:r>
      <w:permStart w:id="77" w:edGrp="everyone"/>
      <w:r>
        <w:rPr>
          <w:rFonts w:hint="eastAsia" w:ascii="仿宋" w:hAnsi="仿宋" w:eastAsia="仿宋" w:cs="仿宋"/>
          <w:color w:val="auto"/>
          <w:highlight w:val="none"/>
          <w:u w:val="single"/>
        </w:rPr>
        <w:t xml:space="preserve">                                  </w:t>
      </w:r>
      <w:permEnd w:id="77"/>
      <w:r>
        <w:rPr>
          <w:rFonts w:hint="eastAsia" w:ascii="仿宋" w:hAnsi="仿宋" w:eastAsia="仿宋" w:cs="仿宋"/>
          <w:color w:val="auto"/>
          <w:highlight w:val="none"/>
          <w:u w:val="single"/>
        </w:rPr>
        <w:t>（盖单位章）</w:t>
      </w:r>
      <w:permStart w:id="78" w:edGrp="everyone"/>
      <w:permEnd w:id="78"/>
    </w:p>
    <w:p w14:paraId="2FDAA2A2">
      <w:pPr>
        <w:adjustRightInd w:val="0"/>
        <w:snapToGrid w:val="0"/>
        <w:spacing w:line="520" w:lineRule="exact"/>
        <w:rPr>
          <w:rFonts w:hint="eastAsia" w:ascii="仿宋" w:hAnsi="仿宋" w:eastAsia="仿宋" w:cs="仿宋"/>
          <w:color w:val="auto"/>
          <w:highlight w:val="none"/>
          <w:u w:val="single"/>
        </w:rPr>
      </w:pPr>
      <w:r>
        <w:rPr>
          <w:rFonts w:hint="eastAsia" w:ascii="仿宋" w:hAnsi="仿宋" w:eastAsia="仿宋" w:cs="仿宋"/>
          <w:color w:val="auto"/>
          <w:highlight w:val="none"/>
        </w:rPr>
        <w:t>法定代表人：</w:t>
      </w:r>
      <w:r>
        <w:rPr>
          <w:rFonts w:hint="eastAsia" w:ascii="仿宋" w:hAnsi="仿宋" w:eastAsia="仿宋" w:cs="仿宋"/>
          <w:color w:val="auto"/>
          <w:highlight w:val="none"/>
          <w:u w:val="single"/>
        </w:rPr>
        <w:t xml:space="preserve"> </w:t>
      </w:r>
      <w:permStart w:id="79" w:edGrp="everyone"/>
      <w:r>
        <w:rPr>
          <w:rFonts w:hint="eastAsia" w:ascii="仿宋" w:hAnsi="仿宋" w:eastAsia="仿宋" w:cs="仿宋"/>
          <w:color w:val="auto"/>
          <w:highlight w:val="none"/>
          <w:u w:val="single"/>
        </w:rPr>
        <w:t xml:space="preserve">                                  </w:t>
      </w:r>
      <w:permEnd w:id="79"/>
      <w:r>
        <w:rPr>
          <w:rFonts w:hint="eastAsia" w:ascii="仿宋" w:hAnsi="仿宋" w:eastAsia="仿宋" w:cs="仿宋"/>
          <w:color w:val="auto"/>
          <w:highlight w:val="none"/>
          <w:u w:val="single"/>
        </w:rPr>
        <w:t xml:space="preserve"> （签字或盖章）</w:t>
      </w:r>
    </w:p>
    <w:p w14:paraId="5F2536E1">
      <w:pPr>
        <w:autoSpaceDE w:val="0"/>
        <w:autoSpaceDN w:val="0"/>
        <w:adjustRightInd w:val="0"/>
        <w:snapToGrid w:val="0"/>
        <w:spacing w:line="520" w:lineRule="exact"/>
        <w:jc w:val="center"/>
        <w:rPr>
          <w:rFonts w:hint="eastAsia" w:ascii="仿宋" w:hAnsi="仿宋" w:eastAsia="仿宋" w:cs="仿宋"/>
          <w:color w:val="auto"/>
          <w:highlight w:val="none"/>
        </w:rPr>
      </w:pPr>
      <w:bookmarkStart w:id="154" w:name="_Toc171581369"/>
      <w:bookmarkStart w:id="155" w:name="_Toc171581549"/>
      <w:bookmarkStart w:id="156" w:name="_Toc171741992"/>
    </w:p>
    <w:p w14:paraId="4E7DD08D">
      <w:pPr>
        <w:autoSpaceDE w:val="0"/>
        <w:autoSpaceDN w:val="0"/>
        <w:adjustRightInd w:val="0"/>
        <w:snapToGrid w:val="0"/>
        <w:spacing w:line="520" w:lineRule="exact"/>
        <w:jc w:val="center"/>
        <w:rPr>
          <w:rFonts w:hint="eastAsia" w:ascii="仿宋" w:hAnsi="仿宋" w:eastAsia="仿宋" w:cs="仿宋"/>
          <w:color w:val="auto"/>
          <w:highlight w:val="none"/>
        </w:rPr>
      </w:pPr>
      <w:r>
        <w:rPr>
          <w:rFonts w:hint="eastAsia" w:ascii="仿宋" w:hAnsi="仿宋" w:eastAsia="仿宋" w:cs="仿宋"/>
          <w:color w:val="auto"/>
          <w:highlight w:val="none"/>
        </w:rPr>
        <w:t xml:space="preserve">日期： </w:t>
      </w:r>
      <w:permStart w:id="80" w:edGrp="everyone"/>
      <w:r>
        <w:rPr>
          <w:rFonts w:hint="eastAsia" w:ascii="仿宋" w:hAnsi="仿宋" w:eastAsia="仿宋" w:cs="仿宋"/>
          <w:color w:val="auto"/>
          <w:highlight w:val="none"/>
        </w:rPr>
        <w:t xml:space="preserve">    年     月     日</w:t>
      </w:r>
      <w:bookmarkEnd w:id="154"/>
      <w:bookmarkEnd w:id="155"/>
      <w:bookmarkEnd w:id="156"/>
    </w:p>
    <w:permEnd w:id="80"/>
    <w:p w14:paraId="1386FD7D">
      <w:pPr>
        <w:adjustRightInd w:val="0"/>
        <w:snapToGrid w:val="0"/>
        <w:spacing w:line="520" w:lineRule="exact"/>
        <w:jc w:val="left"/>
        <w:rPr>
          <w:rFonts w:hint="eastAsia" w:ascii="仿宋" w:hAnsi="仿宋" w:eastAsia="仿宋" w:cs="仿宋"/>
          <w:color w:val="auto"/>
          <w:highlight w:val="none"/>
        </w:rPr>
      </w:pPr>
    </w:p>
    <w:p w14:paraId="7807297D">
      <w:pPr>
        <w:rPr>
          <w:rFonts w:hint="eastAsia" w:ascii="仿宋" w:hAnsi="仿宋" w:eastAsia="仿宋" w:cs="仿宋"/>
          <w:color w:val="auto"/>
          <w:sz w:val="24"/>
          <w:szCs w:val="21"/>
          <w:highlight w:val="none"/>
        </w:rPr>
      </w:pPr>
    </w:p>
    <w:p w14:paraId="3B45E83E">
      <w:pPr>
        <w:pStyle w:val="57"/>
        <w:rPr>
          <w:rFonts w:hint="eastAsia" w:ascii="仿宋" w:hAnsi="仿宋" w:eastAsia="仿宋" w:cs="仿宋"/>
          <w:color w:val="auto"/>
        </w:rPr>
      </w:pPr>
    </w:p>
    <w:p w14:paraId="710DB9A2">
      <w:pPr>
        <w:pStyle w:val="57"/>
        <w:rPr>
          <w:rFonts w:hint="eastAsia" w:ascii="仿宋" w:hAnsi="仿宋" w:eastAsia="仿宋" w:cs="仿宋"/>
          <w:color w:val="auto"/>
        </w:rPr>
      </w:pPr>
    </w:p>
    <w:p w14:paraId="2AC7D473">
      <w:pPr>
        <w:pStyle w:val="57"/>
        <w:rPr>
          <w:rFonts w:hint="eastAsia" w:ascii="仿宋" w:hAnsi="仿宋" w:eastAsia="仿宋" w:cs="仿宋"/>
          <w:color w:val="auto"/>
        </w:rPr>
      </w:pPr>
    </w:p>
    <w:p w14:paraId="243770D0">
      <w:pPr>
        <w:pStyle w:val="57"/>
        <w:rPr>
          <w:rFonts w:hint="eastAsia" w:ascii="仿宋" w:hAnsi="仿宋" w:eastAsia="仿宋" w:cs="仿宋"/>
          <w:color w:val="auto"/>
        </w:rPr>
      </w:pPr>
    </w:p>
    <w:p w14:paraId="502FEEFE">
      <w:pPr>
        <w:pStyle w:val="57"/>
        <w:rPr>
          <w:rFonts w:hint="eastAsia" w:ascii="仿宋" w:hAnsi="仿宋" w:eastAsia="仿宋" w:cs="仿宋"/>
          <w:color w:val="auto"/>
        </w:rPr>
      </w:pPr>
    </w:p>
    <w:p w14:paraId="2B66769A">
      <w:pPr>
        <w:autoSpaceDE w:val="0"/>
        <w:autoSpaceDN w:val="0"/>
        <w:adjustRightInd w:val="0"/>
        <w:spacing w:line="360" w:lineRule="auto"/>
        <w:jc w:val="center"/>
        <w:rPr>
          <w:rFonts w:hint="eastAsia" w:ascii="仿宋" w:hAnsi="仿宋" w:eastAsia="仿宋" w:cs="仿宋"/>
          <w:b/>
          <w:color w:val="auto"/>
          <w:sz w:val="28"/>
          <w:szCs w:val="28"/>
          <w:highlight w:val="none"/>
        </w:rPr>
      </w:pPr>
    </w:p>
    <w:p w14:paraId="27135EF5">
      <w:pPr>
        <w:autoSpaceDE w:val="0"/>
        <w:autoSpaceDN w:val="0"/>
        <w:adjustRightInd w:val="0"/>
        <w:spacing w:line="360" w:lineRule="auto"/>
        <w:jc w:val="center"/>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二、投标保证金</w:t>
      </w:r>
    </w:p>
    <w:p w14:paraId="5BE2AF70">
      <w:pPr>
        <w:autoSpaceDE w:val="0"/>
        <w:autoSpaceDN w:val="0"/>
        <w:adjustRightInd w:val="0"/>
        <w:spacing w:line="360" w:lineRule="auto"/>
        <w:ind w:left="720"/>
        <w:rPr>
          <w:rFonts w:hint="eastAsia" w:ascii="仿宋" w:hAnsi="仿宋" w:eastAsia="仿宋" w:cs="仿宋"/>
          <w:b/>
          <w:color w:val="auto"/>
          <w:sz w:val="28"/>
          <w:szCs w:val="28"/>
          <w:highlight w:val="none"/>
        </w:rPr>
      </w:pPr>
    </w:p>
    <w:p w14:paraId="748996D0">
      <w:pPr>
        <w:autoSpaceDE w:val="0"/>
        <w:autoSpaceDN w:val="0"/>
        <w:adjustRightInd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lang w:val="en-US" w:eastAsia="zh-CN"/>
        </w:rPr>
        <w:t>2.</w:t>
      </w:r>
      <w:r>
        <w:rPr>
          <w:rFonts w:hint="eastAsia" w:ascii="仿宋" w:hAnsi="仿宋" w:eastAsia="仿宋" w:cs="仿宋"/>
          <w:b/>
          <w:color w:val="auto"/>
          <w:sz w:val="28"/>
          <w:szCs w:val="28"/>
          <w:highlight w:val="none"/>
        </w:rPr>
        <w:t>1、附保证金转账的银行</w:t>
      </w:r>
      <w:r>
        <w:rPr>
          <w:rFonts w:hint="eastAsia" w:ascii="仿宋" w:hAnsi="仿宋" w:eastAsia="仿宋" w:cs="仿宋"/>
          <w:b/>
          <w:color w:val="auto"/>
          <w:sz w:val="28"/>
          <w:szCs w:val="28"/>
          <w:highlight w:val="none"/>
          <w:lang w:val="en-US" w:eastAsia="zh-CN"/>
        </w:rPr>
        <w:t>回</w:t>
      </w:r>
      <w:r>
        <w:rPr>
          <w:rFonts w:hint="eastAsia" w:ascii="仿宋" w:hAnsi="仿宋" w:eastAsia="仿宋" w:cs="仿宋"/>
          <w:b/>
          <w:color w:val="auto"/>
          <w:sz w:val="28"/>
          <w:szCs w:val="28"/>
          <w:highlight w:val="none"/>
        </w:rPr>
        <w:t>单（须从基本账户转出）。</w:t>
      </w:r>
    </w:p>
    <w:p w14:paraId="7C837288">
      <w:pPr>
        <w:autoSpaceDE w:val="0"/>
        <w:autoSpaceDN w:val="0"/>
        <w:adjustRightInd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lang w:val="en-US" w:eastAsia="zh-CN"/>
        </w:rPr>
        <w:t>2.</w:t>
      </w:r>
      <w:r>
        <w:rPr>
          <w:rFonts w:hint="eastAsia" w:ascii="仿宋" w:hAnsi="仿宋" w:eastAsia="仿宋" w:cs="仿宋"/>
          <w:b/>
          <w:color w:val="auto"/>
          <w:sz w:val="28"/>
          <w:szCs w:val="28"/>
          <w:highlight w:val="none"/>
        </w:rPr>
        <w:t>2、附“开户许可证”或银行基本户证明。</w:t>
      </w:r>
    </w:p>
    <w:p w14:paraId="6BBE169C">
      <w:pPr>
        <w:autoSpaceDE w:val="0"/>
        <w:autoSpaceDN w:val="0"/>
        <w:adjustRightInd w:val="0"/>
        <w:spacing w:line="360" w:lineRule="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lang w:val="en-US" w:eastAsia="zh-CN"/>
        </w:rPr>
        <w:t>2.</w:t>
      </w:r>
      <w:r>
        <w:rPr>
          <w:rFonts w:hint="eastAsia" w:ascii="仿宋" w:hAnsi="仿宋" w:eastAsia="仿宋" w:cs="仿宋"/>
          <w:b/>
          <w:color w:val="auto"/>
          <w:sz w:val="28"/>
          <w:szCs w:val="28"/>
          <w:highlight w:val="none"/>
        </w:rPr>
        <w:t>3、附《赔偿协议书》</w:t>
      </w:r>
      <w:permStart w:id="81" w:edGrp="everyone"/>
      <w:permEnd w:id="81"/>
      <w:r>
        <w:rPr>
          <w:rFonts w:hint="eastAsia" w:ascii="仿宋" w:hAnsi="仿宋" w:eastAsia="仿宋" w:cs="仿宋"/>
          <w:b/>
          <w:color w:val="auto"/>
          <w:sz w:val="28"/>
          <w:szCs w:val="28"/>
          <w:highlight w:val="none"/>
        </w:rPr>
        <w:t>，</w:t>
      </w:r>
      <w:r>
        <w:rPr>
          <w:rFonts w:hint="eastAsia" w:ascii="仿宋" w:hAnsi="仿宋" w:eastAsia="仿宋" w:cs="仿宋"/>
          <w:b/>
          <w:color w:val="auto"/>
          <w:sz w:val="28"/>
          <w:szCs w:val="28"/>
          <w:highlight w:val="none"/>
          <w:lang w:val="en-US" w:eastAsia="zh-CN"/>
        </w:rPr>
        <w:t>投标人需签署</w:t>
      </w:r>
      <w:r>
        <w:rPr>
          <w:rFonts w:hint="eastAsia" w:ascii="仿宋" w:hAnsi="仿宋" w:eastAsia="仿宋" w:cs="仿宋"/>
          <w:b/>
          <w:color w:val="auto"/>
          <w:sz w:val="28"/>
          <w:szCs w:val="28"/>
          <w:highlight w:val="none"/>
        </w:rPr>
        <w:t>赔偿协议书</w:t>
      </w:r>
      <w:r>
        <w:rPr>
          <w:rFonts w:hint="eastAsia" w:ascii="仿宋" w:hAnsi="仿宋" w:eastAsia="仿宋" w:cs="仿宋"/>
          <w:b/>
          <w:color w:val="auto"/>
          <w:sz w:val="28"/>
          <w:szCs w:val="28"/>
          <w:highlight w:val="none"/>
          <w:lang w:val="en-US" w:eastAsia="zh-CN"/>
        </w:rPr>
        <w:t>并</w:t>
      </w:r>
      <w:r>
        <w:rPr>
          <w:rFonts w:hint="eastAsia" w:ascii="仿宋" w:hAnsi="仿宋" w:eastAsia="仿宋" w:cs="仿宋"/>
          <w:b/>
          <w:color w:val="auto"/>
          <w:sz w:val="28"/>
          <w:szCs w:val="28"/>
          <w:highlight w:val="none"/>
        </w:rPr>
        <w:t>附</w:t>
      </w:r>
      <w:r>
        <w:rPr>
          <w:rFonts w:hint="eastAsia" w:ascii="仿宋" w:hAnsi="仿宋" w:eastAsia="仿宋" w:cs="仿宋"/>
          <w:b/>
          <w:color w:val="auto"/>
          <w:sz w:val="28"/>
          <w:szCs w:val="28"/>
          <w:highlight w:val="none"/>
          <w:lang w:val="en-US" w:eastAsia="zh-CN"/>
        </w:rPr>
        <w:t>后</w:t>
      </w:r>
      <w:r>
        <w:rPr>
          <w:rFonts w:hint="eastAsia" w:ascii="仿宋" w:hAnsi="仿宋" w:eastAsia="仿宋" w:cs="仿宋"/>
          <w:b/>
          <w:color w:val="auto"/>
          <w:sz w:val="28"/>
          <w:szCs w:val="28"/>
          <w:highlight w:val="none"/>
        </w:rPr>
        <w:t>，未附</w:t>
      </w:r>
      <w:r>
        <w:rPr>
          <w:rFonts w:hint="eastAsia" w:ascii="仿宋" w:hAnsi="仿宋" w:eastAsia="仿宋" w:cs="仿宋"/>
          <w:b/>
          <w:color w:val="auto"/>
          <w:sz w:val="28"/>
          <w:szCs w:val="28"/>
          <w:highlight w:val="none"/>
          <w:lang w:val="en-US" w:eastAsia="zh-CN"/>
        </w:rPr>
        <w:t>的按</w:t>
      </w:r>
      <w:r>
        <w:rPr>
          <w:rFonts w:hint="eastAsia" w:ascii="仿宋" w:hAnsi="仿宋" w:eastAsia="仿宋" w:cs="仿宋"/>
          <w:b/>
          <w:color w:val="auto"/>
          <w:sz w:val="28"/>
          <w:szCs w:val="28"/>
          <w:highlight w:val="none"/>
        </w:rPr>
        <w:t>无效</w:t>
      </w:r>
      <w:r>
        <w:rPr>
          <w:rFonts w:hint="eastAsia" w:ascii="仿宋" w:hAnsi="仿宋" w:eastAsia="仿宋" w:cs="仿宋"/>
          <w:b/>
          <w:color w:val="auto"/>
          <w:sz w:val="28"/>
          <w:szCs w:val="28"/>
          <w:highlight w:val="none"/>
          <w:lang w:val="en-US" w:eastAsia="zh-CN"/>
        </w:rPr>
        <w:t>标处理</w:t>
      </w:r>
      <w:r>
        <w:rPr>
          <w:rFonts w:hint="eastAsia" w:ascii="仿宋" w:hAnsi="仿宋" w:eastAsia="仿宋" w:cs="仿宋"/>
          <w:b/>
          <w:color w:val="auto"/>
          <w:sz w:val="28"/>
          <w:szCs w:val="28"/>
          <w:highlight w:val="none"/>
        </w:rPr>
        <w:t>。</w:t>
      </w:r>
    </w:p>
    <w:p w14:paraId="7C8D0B1A">
      <w:pPr>
        <w:pStyle w:val="9"/>
        <w:rPr>
          <w:rFonts w:hint="eastAsia" w:ascii="仿宋" w:hAnsi="仿宋" w:eastAsia="仿宋" w:cs="仿宋"/>
          <w:b/>
          <w:color w:val="auto"/>
          <w:sz w:val="28"/>
          <w:szCs w:val="28"/>
          <w:highlight w:val="none"/>
        </w:rPr>
      </w:pPr>
    </w:p>
    <w:p w14:paraId="0E4656B1">
      <w:pPr>
        <w:rPr>
          <w:rFonts w:hint="eastAsia" w:ascii="仿宋" w:hAnsi="仿宋" w:eastAsia="仿宋" w:cs="仿宋"/>
          <w:b/>
          <w:color w:val="auto"/>
          <w:sz w:val="28"/>
          <w:szCs w:val="28"/>
          <w:highlight w:val="none"/>
        </w:rPr>
      </w:pPr>
    </w:p>
    <w:p w14:paraId="5C0988A3">
      <w:pPr>
        <w:pStyle w:val="9"/>
        <w:rPr>
          <w:rFonts w:hint="eastAsia" w:ascii="仿宋" w:hAnsi="仿宋" w:eastAsia="仿宋" w:cs="仿宋"/>
          <w:b/>
          <w:color w:val="auto"/>
          <w:sz w:val="28"/>
          <w:szCs w:val="28"/>
          <w:highlight w:val="none"/>
        </w:rPr>
      </w:pPr>
    </w:p>
    <w:p w14:paraId="22B8EB34">
      <w:pPr>
        <w:rPr>
          <w:rFonts w:hint="eastAsia" w:ascii="仿宋" w:hAnsi="仿宋" w:eastAsia="仿宋" w:cs="仿宋"/>
          <w:b/>
          <w:color w:val="auto"/>
          <w:sz w:val="28"/>
          <w:szCs w:val="28"/>
          <w:highlight w:val="none"/>
        </w:rPr>
      </w:pPr>
    </w:p>
    <w:p w14:paraId="7254BE09">
      <w:pPr>
        <w:pStyle w:val="9"/>
        <w:rPr>
          <w:rFonts w:hint="eastAsia" w:ascii="仿宋" w:hAnsi="仿宋" w:eastAsia="仿宋" w:cs="仿宋"/>
          <w:b/>
          <w:color w:val="auto"/>
          <w:sz w:val="28"/>
          <w:szCs w:val="28"/>
          <w:highlight w:val="none"/>
        </w:rPr>
      </w:pPr>
    </w:p>
    <w:p w14:paraId="52D66347">
      <w:pPr>
        <w:rPr>
          <w:rFonts w:hint="eastAsia" w:ascii="仿宋" w:hAnsi="仿宋" w:eastAsia="仿宋" w:cs="仿宋"/>
          <w:b/>
          <w:color w:val="auto"/>
          <w:sz w:val="28"/>
          <w:szCs w:val="28"/>
          <w:highlight w:val="none"/>
        </w:rPr>
      </w:pPr>
    </w:p>
    <w:p w14:paraId="674C583F">
      <w:pPr>
        <w:pStyle w:val="9"/>
        <w:rPr>
          <w:rFonts w:hint="eastAsia" w:ascii="仿宋" w:hAnsi="仿宋" w:eastAsia="仿宋" w:cs="仿宋"/>
          <w:b/>
          <w:color w:val="auto"/>
          <w:sz w:val="28"/>
          <w:szCs w:val="28"/>
          <w:highlight w:val="none"/>
        </w:rPr>
      </w:pPr>
    </w:p>
    <w:p w14:paraId="4D0B7098">
      <w:pPr>
        <w:rPr>
          <w:rFonts w:hint="eastAsia" w:ascii="仿宋" w:hAnsi="仿宋" w:eastAsia="仿宋" w:cs="仿宋"/>
          <w:b/>
          <w:color w:val="auto"/>
          <w:sz w:val="28"/>
          <w:szCs w:val="28"/>
          <w:highlight w:val="none"/>
        </w:rPr>
      </w:pPr>
    </w:p>
    <w:p w14:paraId="2970AD21">
      <w:pPr>
        <w:pStyle w:val="9"/>
        <w:rPr>
          <w:rFonts w:hint="eastAsia" w:ascii="仿宋" w:hAnsi="仿宋" w:eastAsia="仿宋" w:cs="仿宋"/>
          <w:b/>
          <w:color w:val="auto"/>
          <w:sz w:val="28"/>
          <w:szCs w:val="28"/>
          <w:highlight w:val="none"/>
        </w:rPr>
      </w:pPr>
    </w:p>
    <w:p w14:paraId="7EF04719">
      <w:pPr>
        <w:rPr>
          <w:rFonts w:hint="eastAsia" w:ascii="仿宋" w:hAnsi="仿宋" w:eastAsia="仿宋" w:cs="仿宋"/>
          <w:b/>
          <w:color w:val="auto"/>
          <w:sz w:val="28"/>
          <w:szCs w:val="28"/>
          <w:highlight w:val="none"/>
        </w:rPr>
      </w:pPr>
    </w:p>
    <w:p w14:paraId="1536D470">
      <w:pPr>
        <w:pStyle w:val="9"/>
        <w:rPr>
          <w:rFonts w:hint="eastAsia" w:ascii="仿宋" w:hAnsi="仿宋" w:eastAsia="仿宋" w:cs="仿宋"/>
          <w:b/>
          <w:color w:val="auto"/>
          <w:sz w:val="28"/>
          <w:szCs w:val="28"/>
          <w:highlight w:val="none"/>
        </w:rPr>
      </w:pPr>
    </w:p>
    <w:p w14:paraId="473D51FD">
      <w:pPr>
        <w:rPr>
          <w:rFonts w:hint="eastAsia" w:ascii="仿宋" w:hAnsi="仿宋" w:eastAsia="仿宋" w:cs="仿宋"/>
          <w:b/>
          <w:color w:val="auto"/>
          <w:sz w:val="28"/>
          <w:szCs w:val="28"/>
          <w:highlight w:val="none"/>
        </w:rPr>
      </w:pPr>
    </w:p>
    <w:p w14:paraId="3D5112C8">
      <w:pPr>
        <w:pStyle w:val="9"/>
        <w:rPr>
          <w:rFonts w:hint="eastAsia" w:ascii="仿宋" w:hAnsi="仿宋" w:eastAsia="仿宋" w:cs="仿宋"/>
          <w:b/>
          <w:color w:val="auto"/>
          <w:sz w:val="28"/>
          <w:szCs w:val="28"/>
          <w:highlight w:val="none"/>
        </w:rPr>
      </w:pPr>
    </w:p>
    <w:p w14:paraId="11EE8112">
      <w:pPr>
        <w:rPr>
          <w:rFonts w:hint="eastAsia" w:ascii="仿宋" w:hAnsi="仿宋" w:eastAsia="仿宋" w:cs="仿宋"/>
          <w:b/>
          <w:color w:val="auto"/>
          <w:sz w:val="28"/>
          <w:szCs w:val="28"/>
          <w:highlight w:val="none"/>
        </w:rPr>
      </w:pPr>
    </w:p>
    <w:p w14:paraId="6F0EDE0F">
      <w:pPr>
        <w:pStyle w:val="9"/>
        <w:rPr>
          <w:rFonts w:hint="eastAsia" w:ascii="仿宋" w:hAnsi="仿宋" w:eastAsia="仿宋" w:cs="仿宋"/>
          <w:b/>
          <w:color w:val="auto"/>
          <w:sz w:val="28"/>
          <w:szCs w:val="28"/>
          <w:highlight w:val="none"/>
        </w:rPr>
      </w:pPr>
    </w:p>
    <w:p w14:paraId="534014CD">
      <w:pPr>
        <w:rPr>
          <w:rFonts w:hint="eastAsia" w:ascii="仿宋" w:hAnsi="仿宋" w:eastAsia="仿宋" w:cs="仿宋"/>
          <w:b/>
          <w:color w:val="auto"/>
          <w:sz w:val="28"/>
          <w:szCs w:val="28"/>
          <w:highlight w:val="none"/>
        </w:rPr>
      </w:pPr>
    </w:p>
    <w:p w14:paraId="6BA73FA0">
      <w:pPr>
        <w:pStyle w:val="9"/>
        <w:rPr>
          <w:rFonts w:hint="eastAsia" w:ascii="仿宋" w:hAnsi="仿宋" w:eastAsia="仿宋" w:cs="仿宋"/>
          <w:b/>
          <w:color w:val="auto"/>
          <w:sz w:val="28"/>
          <w:szCs w:val="28"/>
          <w:highlight w:val="none"/>
        </w:rPr>
      </w:pPr>
    </w:p>
    <w:p w14:paraId="12770AE2">
      <w:pPr>
        <w:rPr>
          <w:rFonts w:hint="eastAsia" w:ascii="仿宋" w:hAnsi="仿宋" w:eastAsia="仿宋" w:cs="仿宋"/>
          <w:b/>
          <w:color w:val="auto"/>
          <w:sz w:val="28"/>
          <w:szCs w:val="28"/>
          <w:highlight w:val="none"/>
        </w:rPr>
      </w:pPr>
    </w:p>
    <w:p w14:paraId="7F488190">
      <w:pPr>
        <w:pStyle w:val="9"/>
        <w:rPr>
          <w:rFonts w:hint="eastAsia" w:ascii="仿宋" w:hAnsi="仿宋" w:eastAsia="仿宋" w:cs="仿宋"/>
          <w:b/>
          <w:color w:val="auto"/>
          <w:sz w:val="28"/>
          <w:szCs w:val="28"/>
          <w:highlight w:val="none"/>
        </w:rPr>
      </w:pPr>
    </w:p>
    <w:p w14:paraId="7340978C">
      <w:pPr>
        <w:rPr>
          <w:rFonts w:hint="eastAsia" w:ascii="仿宋" w:hAnsi="仿宋" w:eastAsia="仿宋" w:cs="仿宋"/>
          <w:b/>
          <w:color w:val="auto"/>
          <w:sz w:val="28"/>
          <w:szCs w:val="28"/>
          <w:highlight w:val="none"/>
        </w:rPr>
      </w:pPr>
    </w:p>
    <w:p w14:paraId="141A8722">
      <w:pPr>
        <w:pStyle w:val="9"/>
        <w:rPr>
          <w:rFonts w:hint="eastAsia" w:ascii="仿宋" w:hAnsi="仿宋" w:eastAsia="仿宋" w:cs="仿宋"/>
          <w:b/>
          <w:color w:val="auto"/>
          <w:sz w:val="28"/>
          <w:szCs w:val="28"/>
          <w:highlight w:val="none"/>
        </w:rPr>
      </w:pPr>
    </w:p>
    <w:p w14:paraId="4923FC4E">
      <w:pPr>
        <w:rPr>
          <w:rFonts w:hint="eastAsia" w:ascii="仿宋" w:hAnsi="仿宋" w:eastAsia="仿宋" w:cs="仿宋"/>
          <w:b/>
          <w:color w:val="auto"/>
          <w:sz w:val="28"/>
          <w:szCs w:val="28"/>
          <w:highlight w:val="none"/>
        </w:rPr>
      </w:pPr>
    </w:p>
    <w:p w14:paraId="6BEB160A">
      <w:pPr>
        <w:pStyle w:val="9"/>
        <w:rPr>
          <w:rFonts w:hint="eastAsia" w:ascii="仿宋" w:hAnsi="仿宋" w:eastAsia="仿宋" w:cs="仿宋"/>
          <w:b/>
          <w:color w:val="auto"/>
          <w:sz w:val="28"/>
          <w:szCs w:val="28"/>
          <w:highlight w:val="none"/>
        </w:rPr>
      </w:pPr>
    </w:p>
    <w:p w14:paraId="79947F08">
      <w:pPr>
        <w:rPr>
          <w:rFonts w:hint="eastAsia" w:ascii="仿宋" w:hAnsi="仿宋" w:eastAsia="仿宋" w:cs="仿宋"/>
          <w:b/>
          <w:color w:val="auto"/>
          <w:sz w:val="28"/>
          <w:szCs w:val="28"/>
          <w:highlight w:val="none"/>
        </w:rPr>
      </w:pPr>
    </w:p>
    <w:p w14:paraId="2740A88B">
      <w:pPr>
        <w:pStyle w:val="9"/>
        <w:rPr>
          <w:rFonts w:hint="eastAsia" w:ascii="仿宋" w:hAnsi="仿宋" w:eastAsia="仿宋" w:cs="仿宋"/>
          <w:b/>
          <w:color w:val="auto"/>
          <w:sz w:val="28"/>
          <w:szCs w:val="28"/>
          <w:highlight w:val="none"/>
        </w:rPr>
      </w:pPr>
    </w:p>
    <w:p w14:paraId="4A12B570">
      <w:pPr>
        <w:rPr>
          <w:rFonts w:hint="eastAsia"/>
        </w:rPr>
      </w:pPr>
    </w:p>
    <w:p w14:paraId="409DB53A">
      <w:pPr>
        <w:ind w:left="321" w:hanging="321" w:hangingChars="100"/>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赔偿协议书</w:t>
      </w:r>
    </w:p>
    <w:p w14:paraId="734EC345">
      <w:pPr>
        <w:spacing w:line="360" w:lineRule="auto"/>
        <w:rPr>
          <w:rFonts w:hint="eastAsia" w:ascii="仿宋" w:hAnsi="仿宋" w:eastAsia="仿宋" w:cs="仿宋"/>
          <w:bCs/>
          <w:color w:val="auto"/>
          <w:highlight w:val="none"/>
        </w:rPr>
      </w:pPr>
    </w:p>
    <w:p w14:paraId="5FB38A4D">
      <w:pPr>
        <w:spacing w:line="360" w:lineRule="auto"/>
        <w:rPr>
          <w:rFonts w:hint="eastAsia" w:ascii="仿宋" w:hAnsi="仿宋" w:eastAsia="仿宋" w:cs="仿宋"/>
          <w:bCs/>
          <w:color w:val="auto"/>
          <w:highlight w:val="none"/>
        </w:rPr>
      </w:pPr>
      <w:r>
        <w:rPr>
          <w:rFonts w:hint="eastAsia" w:ascii="仿宋" w:hAnsi="仿宋" w:eastAsia="仿宋" w:cs="仿宋"/>
          <w:bCs/>
          <w:color w:val="auto"/>
          <w:highlight w:val="none"/>
        </w:rPr>
        <w:t xml:space="preserve">甲方（招标人）：                            乙方（投标人）： </w:t>
      </w:r>
      <w:permStart w:id="82" w:edGrp="everyone"/>
      <w:r>
        <w:rPr>
          <w:rFonts w:hint="eastAsia"/>
          <w:color w:val="auto"/>
        </w:rPr>
        <w:t xml:space="preserve">  </w:t>
      </w:r>
    </w:p>
    <w:permEnd w:id="82"/>
    <w:p w14:paraId="07307B5A">
      <w:pPr>
        <w:spacing w:line="360" w:lineRule="auto"/>
        <w:rPr>
          <w:rFonts w:hint="eastAsia" w:ascii="仿宋" w:hAnsi="仿宋" w:eastAsia="仿宋" w:cs="仿宋"/>
          <w:bCs/>
          <w:color w:val="auto"/>
          <w:highlight w:val="none"/>
        </w:rPr>
      </w:pPr>
      <w:r>
        <w:rPr>
          <w:rFonts w:hint="eastAsia" w:ascii="仿宋" w:hAnsi="仿宋" w:eastAsia="仿宋" w:cs="仿宋"/>
          <w:bCs/>
          <w:color w:val="auto"/>
          <w:highlight w:val="none"/>
        </w:rPr>
        <w:t>法定代表人：                               法定代表人：</w:t>
      </w:r>
      <w:permStart w:id="83" w:edGrp="everyone"/>
      <w:r>
        <w:rPr>
          <w:rFonts w:hint="eastAsia"/>
          <w:color w:val="auto"/>
        </w:rPr>
        <w:t xml:space="preserve">  </w:t>
      </w:r>
    </w:p>
    <w:permEnd w:id="83"/>
    <w:p w14:paraId="3F6571CB">
      <w:pPr>
        <w:spacing w:line="360" w:lineRule="auto"/>
        <w:rPr>
          <w:rFonts w:hint="eastAsia" w:ascii="仿宋" w:hAnsi="仿宋" w:eastAsia="仿宋" w:cs="仿宋"/>
          <w:bCs/>
          <w:color w:val="auto"/>
          <w:highlight w:val="none"/>
          <w:lang w:val="en-US" w:eastAsia="zh-CN"/>
        </w:rPr>
      </w:pPr>
      <w:r>
        <w:rPr>
          <w:rFonts w:hint="eastAsia" w:ascii="仿宋" w:hAnsi="仿宋" w:eastAsia="仿宋" w:cs="仿宋"/>
          <w:bCs/>
          <w:color w:val="auto"/>
          <w:highlight w:val="none"/>
        </w:rPr>
        <w:t>协议签订地：</w:t>
      </w:r>
      <w:r>
        <w:rPr>
          <w:rFonts w:hint="eastAsia" w:ascii="仿宋" w:hAnsi="仿宋" w:eastAsia="仿宋" w:cs="仿宋"/>
          <w:color w:val="auto"/>
          <w:szCs w:val="24"/>
          <w:highlight w:val="none"/>
          <w:lang w:val="en-US" w:eastAsia="zh-CN"/>
        </w:rPr>
        <w:t xml:space="preserve"> </w:t>
      </w:r>
    </w:p>
    <w:p w14:paraId="3EB277CF">
      <w:pPr>
        <w:spacing w:line="360" w:lineRule="auto"/>
        <w:ind w:firstLine="420"/>
        <w:rPr>
          <w:rFonts w:hint="eastAsia" w:ascii="仿宋" w:hAnsi="仿宋" w:eastAsia="仿宋" w:cs="仿宋"/>
          <w:bCs/>
          <w:color w:val="auto"/>
          <w:highlight w:val="none"/>
        </w:rPr>
      </w:pPr>
      <w:r>
        <w:rPr>
          <w:rFonts w:hint="eastAsia" w:ascii="仿宋" w:hAnsi="仿宋" w:eastAsia="仿宋" w:cs="仿宋"/>
          <w:bCs/>
          <w:color w:val="auto"/>
          <w:highlight w:val="none"/>
        </w:rPr>
        <w:t>为维护招投标工作公平竞争秩序，严格遵守有关法律法规和行业标准规范，依法诚信参加招投标活动。甲乙双方本着平等自愿原则，就</w:t>
      </w:r>
      <w:r>
        <w:rPr>
          <w:rFonts w:hint="eastAsia" w:ascii="仿宋" w:hAnsi="仿宋" w:eastAsia="仿宋" w:cs="仿宋"/>
          <w:bCs/>
          <w:color w:val="auto"/>
          <w:highlight w:val="none"/>
          <w:u w:val="single"/>
        </w:rPr>
        <w:t xml:space="preserve"> </w:t>
      </w:r>
      <w:permStart w:id="84" w:edGrp="everyone"/>
      <w:r>
        <w:rPr>
          <w:rFonts w:hint="eastAsia" w:ascii="仿宋" w:hAnsi="仿宋" w:eastAsia="仿宋" w:cs="仿宋"/>
          <w:bCs/>
          <w:color w:val="auto"/>
          <w:highlight w:val="none"/>
          <w:u w:val="single"/>
        </w:rPr>
        <w:t xml:space="preserve">  </w:t>
      </w:r>
      <w:r>
        <w:rPr>
          <w:rFonts w:hint="eastAsia" w:ascii="仿宋" w:hAnsi="仿宋" w:eastAsia="仿宋" w:cs="仿宋"/>
          <w:bCs/>
          <w:color w:val="auto"/>
          <w:highlight w:val="none"/>
          <w:u w:val="single"/>
          <w:lang w:val="en-US" w:eastAsia="zh-CN"/>
        </w:rPr>
        <w:t xml:space="preserve">         </w:t>
      </w:r>
      <w:r>
        <w:rPr>
          <w:rFonts w:hint="eastAsia" w:ascii="仿宋" w:hAnsi="仿宋" w:eastAsia="仿宋" w:cs="仿宋"/>
          <w:bCs/>
          <w:color w:val="auto"/>
          <w:highlight w:val="none"/>
          <w:u w:val="single"/>
        </w:rPr>
        <w:t xml:space="preserve"> </w:t>
      </w:r>
      <w:permEnd w:id="84"/>
      <w:r>
        <w:rPr>
          <w:rFonts w:hint="eastAsia" w:ascii="仿宋" w:hAnsi="仿宋" w:eastAsia="仿宋" w:cs="仿宋"/>
          <w:bCs/>
          <w:color w:val="auto"/>
          <w:highlight w:val="none"/>
          <w:u w:val="single"/>
        </w:rPr>
        <w:t xml:space="preserve"> </w:t>
      </w:r>
      <w:r>
        <w:rPr>
          <w:rFonts w:hint="eastAsia" w:ascii="仿宋" w:hAnsi="仿宋" w:eastAsia="仿宋" w:cs="仿宋"/>
          <w:bCs/>
          <w:color w:val="auto"/>
          <w:highlight w:val="none"/>
        </w:rPr>
        <w:t>项目，招标编号：</w:t>
      </w:r>
      <w:r>
        <w:rPr>
          <w:rFonts w:hint="eastAsia" w:ascii="仿宋" w:hAnsi="仿宋" w:eastAsia="仿宋" w:cs="仿宋"/>
          <w:bCs/>
          <w:color w:val="auto"/>
          <w:highlight w:val="none"/>
          <w:u w:val="single"/>
        </w:rPr>
        <w:t xml:space="preserve">  </w:t>
      </w:r>
      <w:permStart w:id="85" w:edGrp="everyone"/>
      <w:r>
        <w:rPr>
          <w:rFonts w:hint="eastAsia" w:ascii="仿宋" w:hAnsi="仿宋" w:eastAsia="仿宋" w:cs="仿宋"/>
          <w:bCs/>
          <w:color w:val="auto"/>
          <w:highlight w:val="none"/>
          <w:u w:val="single"/>
        </w:rPr>
        <w:t xml:space="preserve">       </w:t>
      </w:r>
      <w:permEnd w:id="85"/>
      <w:r>
        <w:rPr>
          <w:rFonts w:hint="eastAsia" w:ascii="仿宋" w:hAnsi="仿宋" w:eastAsia="仿宋" w:cs="仿宋"/>
          <w:bCs/>
          <w:color w:val="auto"/>
          <w:highlight w:val="none"/>
        </w:rPr>
        <w:t xml:space="preserve"> ，达成如下协议：</w:t>
      </w:r>
    </w:p>
    <w:p w14:paraId="1C4DE4B9">
      <w:pPr>
        <w:spacing w:line="360" w:lineRule="auto"/>
        <w:ind w:firstLine="422" w:firstLineChars="200"/>
        <w:rPr>
          <w:rFonts w:hint="eastAsia" w:ascii="仿宋" w:hAnsi="仿宋" w:eastAsia="仿宋" w:cs="仿宋"/>
          <w:b/>
          <w:color w:val="auto"/>
          <w:szCs w:val="24"/>
          <w:highlight w:val="none"/>
        </w:rPr>
      </w:pPr>
      <w:r>
        <w:rPr>
          <w:rFonts w:hint="eastAsia" w:ascii="仿宋" w:hAnsi="仿宋" w:eastAsia="仿宋" w:cs="仿宋"/>
          <w:b/>
          <w:color w:val="auto"/>
          <w:szCs w:val="24"/>
          <w:highlight w:val="none"/>
        </w:rPr>
        <w:t>一、乙方在投标过程中出现以下情形之一的，自愿赔偿甲方人民币</w:t>
      </w:r>
      <w:permStart w:id="86" w:edGrp="everyone"/>
      <w:r>
        <w:rPr>
          <w:rFonts w:hint="eastAsia" w:ascii="仿宋" w:hAnsi="仿宋" w:eastAsia="仿宋" w:cs="仿宋"/>
          <w:b/>
          <w:color w:val="auto"/>
          <w:szCs w:val="24"/>
          <w:highlight w:val="none"/>
          <w:u w:val="single"/>
        </w:rPr>
        <w:t xml:space="preserve"> </w:t>
      </w:r>
      <w:r>
        <w:rPr>
          <w:rFonts w:hint="eastAsia" w:ascii="仿宋" w:hAnsi="仿宋" w:eastAsia="仿宋" w:cs="仿宋"/>
          <w:b/>
          <w:color w:val="auto"/>
          <w:szCs w:val="24"/>
          <w:highlight w:val="none"/>
          <w:u w:val="single"/>
          <w:lang w:val="en-US" w:eastAsia="zh-CN"/>
        </w:rPr>
        <w:t>贰万</w:t>
      </w:r>
      <w:r>
        <w:rPr>
          <w:rFonts w:hint="eastAsia" w:ascii="仿宋" w:hAnsi="仿宋" w:eastAsia="仿宋" w:cs="仿宋"/>
          <w:b/>
          <w:color w:val="auto"/>
          <w:szCs w:val="24"/>
          <w:highlight w:val="none"/>
          <w:u w:val="single"/>
        </w:rPr>
        <w:t xml:space="preserve"> </w:t>
      </w:r>
      <w:permEnd w:id="86"/>
      <w:r>
        <w:rPr>
          <w:rFonts w:hint="eastAsia" w:ascii="仿宋" w:hAnsi="仿宋" w:eastAsia="仿宋" w:cs="仿宋"/>
          <w:b/>
          <w:color w:val="auto"/>
          <w:szCs w:val="24"/>
          <w:highlight w:val="none"/>
        </w:rPr>
        <w:t>元赔偿金，从投标保证金中直接扣除：</w:t>
      </w:r>
    </w:p>
    <w:p w14:paraId="76E44568">
      <w:pPr>
        <w:spacing w:line="360" w:lineRule="auto"/>
        <w:ind w:firstLine="422" w:firstLineChars="200"/>
        <w:rPr>
          <w:rFonts w:hint="eastAsia" w:ascii="仿宋" w:hAnsi="仿宋" w:eastAsia="仿宋" w:cs="仿宋"/>
          <w:b/>
          <w:color w:val="auto"/>
          <w:szCs w:val="24"/>
          <w:highlight w:val="none"/>
        </w:rPr>
      </w:pPr>
      <w:r>
        <w:rPr>
          <w:rFonts w:hint="eastAsia" w:ascii="仿宋" w:hAnsi="仿宋" w:eastAsia="仿宋" w:cs="仿宋"/>
          <w:b/>
          <w:color w:val="auto"/>
          <w:szCs w:val="24"/>
          <w:highlight w:val="none"/>
        </w:rPr>
        <w:t>（1）投标人在投标过程中以提供虚假资料等弄虚作假方式投标并查证属实的；</w:t>
      </w:r>
    </w:p>
    <w:p w14:paraId="63CA77AE">
      <w:pPr>
        <w:spacing w:line="360" w:lineRule="auto"/>
        <w:ind w:firstLine="422" w:firstLineChars="200"/>
        <w:rPr>
          <w:rFonts w:hint="eastAsia" w:ascii="仿宋" w:hAnsi="仿宋" w:eastAsia="仿宋" w:cs="仿宋"/>
          <w:b/>
          <w:color w:val="auto"/>
          <w:szCs w:val="24"/>
          <w:highlight w:val="none"/>
        </w:rPr>
      </w:pPr>
      <w:r>
        <w:rPr>
          <w:rFonts w:hint="eastAsia" w:ascii="仿宋" w:hAnsi="仿宋" w:eastAsia="仿宋" w:cs="仿宋"/>
          <w:b/>
          <w:color w:val="auto"/>
          <w:szCs w:val="24"/>
          <w:highlight w:val="none"/>
        </w:rPr>
        <w:t>（2）投标人相互串通投标或有违反法律法规相关规定骗取中标并查证属实的；</w:t>
      </w:r>
    </w:p>
    <w:p w14:paraId="64F01EB3">
      <w:pPr>
        <w:spacing w:line="360" w:lineRule="auto"/>
        <w:ind w:firstLine="422" w:firstLineChars="200"/>
        <w:rPr>
          <w:rFonts w:hint="eastAsia" w:ascii="仿宋" w:hAnsi="仿宋" w:eastAsia="仿宋" w:cs="仿宋"/>
          <w:b/>
          <w:color w:val="auto"/>
          <w:szCs w:val="24"/>
          <w:highlight w:val="none"/>
        </w:rPr>
      </w:pPr>
      <w:r>
        <w:rPr>
          <w:rFonts w:hint="eastAsia" w:ascii="仿宋" w:hAnsi="仿宋" w:eastAsia="仿宋" w:cs="仿宋"/>
          <w:b/>
          <w:color w:val="auto"/>
          <w:szCs w:val="24"/>
          <w:highlight w:val="none"/>
        </w:rPr>
        <w:t>（3）被认定存在法律法规明确载明可不予退还的其他情形。</w:t>
      </w:r>
    </w:p>
    <w:p w14:paraId="20F1A3D3">
      <w:pPr>
        <w:spacing w:line="360" w:lineRule="auto"/>
        <w:ind w:firstLine="422" w:firstLineChars="200"/>
        <w:rPr>
          <w:rFonts w:hint="eastAsia" w:ascii="仿宋" w:hAnsi="仿宋" w:eastAsia="仿宋" w:cs="仿宋"/>
          <w:b/>
          <w:color w:val="auto"/>
          <w:szCs w:val="24"/>
          <w:highlight w:val="none"/>
        </w:rPr>
      </w:pPr>
      <w:r>
        <w:rPr>
          <w:rFonts w:hint="eastAsia" w:ascii="仿宋" w:hAnsi="仿宋" w:eastAsia="仿宋" w:cs="仿宋"/>
          <w:b/>
          <w:color w:val="auto"/>
          <w:szCs w:val="24"/>
          <w:highlight w:val="none"/>
        </w:rPr>
        <w:t>如乙方已中标且已退还投标保证金，在履约过程中被发现有以上情形之一的，则从合同价款或履约保证金中扣除。</w:t>
      </w:r>
    </w:p>
    <w:p w14:paraId="2AEC0C80">
      <w:pPr>
        <w:numPr>
          <w:ilvl w:val="0"/>
          <w:numId w:val="5"/>
        </w:numPr>
        <w:spacing w:line="360" w:lineRule="auto"/>
        <w:ind w:firstLine="420" w:firstLineChars="200"/>
        <w:rPr>
          <w:rFonts w:hint="eastAsia" w:ascii="仿宋" w:hAnsi="仿宋" w:eastAsia="仿宋" w:cs="仿宋"/>
          <w:bCs/>
          <w:color w:val="auto"/>
          <w:highlight w:val="none"/>
        </w:rPr>
      </w:pPr>
      <w:r>
        <w:rPr>
          <w:rFonts w:hint="eastAsia" w:ascii="仿宋" w:hAnsi="仿宋" w:eastAsia="仿宋" w:cs="仿宋"/>
          <w:bCs/>
          <w:color w:val="auto"/>
          <w:highlight w:val="none"/>
        </w:rPr>
        <w:t>本协议为双方平等自愿协商的结果，是双方真实意思表示，且公平合理。</w:t>
      </w:r>
    </w:p>
    <w:p w14:paraId="1969DCEA">
      <w:pPr>
        <w:numPr>
          <w:ilvl w:val="0"/>
          <w:numId w:val="5"/>
        </w:numPr>
        <w:spacing w:line="360" w:lineRule="auto"/>
        <w:ind w:firstLine="420" w:firstLineChars="200"/>
        <w:rPr>
          <w:rFonts w:hint="eastAsia" w:ascii="仿宋" w:hAnsi="仿宋" w:eastAsia="仿宋" w:cs="仿宋"/>
          <w:bCs/>
          <w:color w:val="auto"/>
          <w:highlight w:val="none"/>
        </w:rPr>
      </w:pPr>
      <w:r>
        <w:rPr>
          <w:rFonts w:hint="eastAsia" w:ascii="仿宋" w:hAnsi="仿宋" w:eastAsia="仿宋" w:cs="仿宋"/>
          <w:bCs/>
          <w:color w:val="auto"/>
          <w:highlight w:val="none"/>
        </w:rPr>
        <w:t>针对本协议未尽事宜双方协商解决，协商不成的双方约定向合同签订地有管辖权的人民法院提起诉讼。</w:t>
      </w:r>
    </w:p>
    <w:p w14:paraId="185EA056">
      <w:pPr>
        <w:spacing w:line="360" w:lineRule="auto"/>
        <w:ind w:firstLine="420" w:firstLineChars="200"/>
        <w:rPr>
          <w:rFonts w:hint="eastAsia" w:ascii="仿宋" w:hAnsi="仿宋" w:eastAsia="仿宋" w:cs="仿宋"/>
          <w:bCs/>
          <w:color w:val="auto"/>
          <w:highlight w:val="none"/>
        </w:rPr>
      </w:pPr>
      <w:r>
        <w:rPr>
          <w:rFonts w:hint="eastAsia" w:ascii="仿宋" w:hAnsi="仿宋" w:eastAsia="仿宋" w:cs="仿宋"/>
          <w:bCs/>
          <w:color w:val="auto"/>
          <w:highlight w:val="none"/>
        </w:rPr>
        <w:t>四、本协议一式两份，双方各执一份，经双方盖章签字之日起生效。</w:t>
      </w:r>
    </w:p>
    <w:p w14:paraId="384A2915">
      <w:pPr>
        <w:spacing w:line="360" w:lineRule="auto"/>
        <w:ind w:firstLine="420" w:firstLineChars="200"/>
        <w:rPr>
          <w:rFonts w:hint="eastAsia" w:ascii="仿宋" w:hAnsi="仿宋" w:eastAsia="仿宋" w:cs="仿宋"/>
          <w:bCs/>
          <w:color w:val="auto"/>
          <w:highlight w:val="none"/>
        </w:rPr>
      </w:pPr>
    </w:p>
    <w:p w14:paraId="45449B3F">
      <w:pPr>
        <w:spacing w:line="360" w:lineRule="auto"/>
        <w:rPr>
          <w:rFonts w:hint="eastAsia" w:ascii="仿宋" w:hAnsi="仿宋" w:eastAsia="仿宋" w:cs="仿宋"/>
          <w:bCs/>
          <w:color w:val="auto"/>
          <w:highlight w:val="none"/>
        </w:rPr>
      </w:pPr>
      <w:r>
        <w:rPr>
          <w:rFonts w:hint="eastAsia" w:ascii="仿宋" w:hAnsi="仿宋" w:eastAsia="仿宋" w:cs="仿宋"/>
          <w:bCs/>
          <w:color w:val="auto"/>
          <w:highlight w:val="none"/>
        </w:rPr>
        <w:t>甲方：</w:t>
      </w:r>
      <w:r>
        <w:rPr>
          <w:rFonts w:hint="eastAsia" w:ascii="仿宋" w:hAnsi="仿宋" w:eastAsia="仿宋" w:cs="仿宋"/>
          <w:bCs/>
          <w:color w:val="auto"/>
          <w:highlight w:val="none"/>
          <w:u w:val="single"/>
        </w:rPr>
        <w:t xml:space="preserve">                </w:t>
      </w:r>
      <w:r>
        <w:rPr>
          <w:rFonts w:hint="eastAsia" w:ascii="仿宋" w:hAnsi="仿宋" w:eastAsia="仿宋" w:cs="仿宋"/>
          <w:bCs/>
          <w:color w:val="auto"/>
          <w:highlight w:val="none"/>
        </w:rPr>
        <w:t>（公章）             乙方：</w:t>
      </w:r>
      <w:permStart w:id="87" w:edGrp="everyone"/>
      <w:r>
        <w:rPr>
          <w:rFonts w:hint="eastAsia" w:ascii="仿宋" w:hAnsi="仿宋" w:eastAsia="仿宋" w:cs="仿宋"/>
          <w:bCs/>
          <w:color w:val="auto"/>
          <w:highlight w:val="none"/>
          <w:u w:val="single"/>
        </w:rPr>
        <w:t xml:space="preserve">                </w:t>
      </w:r>
      <w:permEnd w:id="87"/>
      <w:r>
        <w:rPr>
          <w:rFonts w:hint="eastAsia" w:ascii="仿宋" w:hAnsi="仿宋" w:eastAsia="仿宋" w:cs="仿宋"/>
          <w:bCs/>
          <w:color w:val="auto"/>
          <w:highlight w:val="none"/>
        </w:rPr>
        <w:t>（公章）</w:t>
      </w:r>
    </w:p>
    <w:p w14:paraId="5EA56468">
      <w:pPr>
        <w:spacing w:line="360" w:lineRule="auto"/>
        <w:rPr>
          <w:rFonts w:hint="eastAsia" w:ascii="仿宋" w:hAnsi="仿宋" w:eastAsia="仿宋" w:cs="仿宋"/>
          <w:bCs/>
          <w:color w:val="auto"/>
          <w:highlight w:val="none"/>
        </w:rPr>
      </w:pPr>
      <w:r>
        <w:rPr>
          <w:rFonts w:hint="eastAsia" w:ascii="仿宋" w:hAnsi="仿宋" w:eastAsia="仿宋" w:cs="仿宋"/>
          <w:bCs/>
          <w:color w:val="auto"/>
          <w:highlight w:val="none"/>
        </w:rPr>
        <w:t>法定代表人：</w:t>
      </w:r>
      <w:r>
        <w:rPr>
          <w:rFonts w:hint="eastAsia" w:ascii="仿宋" w:hAnsi="仿宋" w:eastAsia="仿宋" w:cs="仿宋"/>
          <w:bCs/>
          <w:color w:val="auto"/>
          <w:highlight w:val="none"/>
          <w:u w:val="single"/>
        </w:rPr>
        <w:t xml:space="preserve">          </w:t>
      </w:r>
      <w:r>
        <w:rPr>
          <w:rFonts w:hint="eastAsia" w:ascii="仿宋" w:hAnsi="仿宋" w:eastAsia="仿宋" w:cs="仿宋"/>
          <w:bCs/>
          <w:color w:val="auto"/>
          <w:highlight w:val="none"/>
        </w:rPr>
        <w:t>（签章）             法定代表人：</w:t>
      </w:r>
      <w:permStart w:id="88" w:edGrp="everyone"/>
      <w:r>
        <w:rPr>
          <w:rFonts w:hint="eastAsia" w:ascii="仿宋" w:hAnsi="仿宋" w:eastAsia="仿宋" w:cs="仿宋"/>
          <w:bCs/>
          <w:color w:val="auto"/>
          <w:highlight w:val="none"/>
          <w:u w:val="single"/>
        </w:rPr>
        <w:t xml:space="preserve">          </w:t>
      </w:r>
      <w:permEnd w:id="88"/>
      <w:r>
        <w:rPr>
          <w:rFonts w:hint="eastAsia" w:ascii="仿宋" w:hAnsi="仿宋" w:eastAsia="仿宋" w:cs="仿宋"/>
          <w:bCs/>
          <w:color w:val="auto"/>
          <w:highlight w:val="none"/>
        </w:rPr>
        <w:t>（签章）</w:t>
      </w:r>
    </w:p>
    <w:p w14:paraId="57BBF054">
      <w:pPr>
        <w:spacing w:line="360" w:lineRule="auto"/>
        <w:ind w:firstLine="630" w:firstLineChars="300"/>
        <w:rPr>
          <w:rFonts w:hint="eastAsia" w:ascii="仿宋" w:hAnsi="仿宋" w:eastAsia="仿宋" w:cs="仿宋"/>
          <w:bCs/>
          <w:color w:val="auto"/>
          <w:highlight w:val="none"/>
        </w:rPr>
      </w:pPr>
      <w:r>
        <w:rPr>
          <w:rFonts w:hint="eastAsia" w:ascii="仿宋" w:hAnsi="仿宋" w:eastAsia="仿宋" w:cs="仿宋"/>
          <w:bCs/>
          <w:color w:val="auto"/>
          <w:highlight w:val="none"/>
        </w:rPr>
        <w:t xml:space="preserve">年   月   日                          </w:t>
      </w:r>
      <w:permStart w:id="89" w:edGrp="everyone"/>
      <w:r>
        <w:rPr>
          <w:rFonts w:hint="eastAsia" w:ascii="仿宋" w:hAnsi="仿宋" w:eastAsia="仿宋" w:cs="仿宋"/>
          <w:bCs/>
          <w:color w:val="auto"/>
          <w:highlight w:val="none"/>
        </w:rPr>
        <w:t xml:space="preserve">     年   月   日</w:t>
      </w:r>
    </w:p>
    <w:permEnd w:id="89"/>
    <w:p w14:paraId="1F5CE88F">
      <w:pPr>
        <w:spacing w:line="360" w:lineRule="auto"/>
        <w:rPr>
          <w:rFonts w:hint="eastAsia" w:ascii="仿宋" w:hAnsi="仿宋" w:eastAsia="仿宋" w:cs="仿宋"/>
          <w:bCs/>
          <w:color w:val="auto"/>
          <w:highlight w:val="none"/>
        </w:rPr>
      </w:pPr>
    </w:p>
    <w:p w14:paraId="11C97724">
      <w:pPr>
        <w:spacing w:line="360" w:lineRule="auto"/>
        <w:rPr>
          <w:rFonts w:hint="eastAsia" w:ascii="仿宋" w:hAnsi="仿宋" w:eastAsia="仿宋" w:cs="仿宋"/>
          <w:bCs/>
          <w:color w:val="auto"/>
          <w:highlight w:val="none"/>
        </w:rPr>
      </w:pPr>
    </w:p>
    <w:p w14:paraId="6A8C91C3">
      <w:pPr>
        <w:pStyle w:val="57"/>
        <w:rPr>
          <w:rFonts w:hint="eastAsia"/>
          <w:color w:val="auto"/>
        </w:rPr>
      </w:pPr>
    </w:p>
    <w:p w14:paraId="79C241E7">
      <w:pPr>
        <w:pStyle w:val="57"/>
        <w:rPr>
          <w:rFonts w:hint="eastAsia"/>
          <w:color w:val="auto"/>
        </w:rPr>
      </w:pPr>
    </w:p>
    <w:p w14:paraId="5CAAF0E8">
      <w:pPr>
        <w:pStyle w:val="57"/>
        <w:rPr>
          <w:rFonts w:hint="eastAsia"/>
          <w:color w:val="auto"/>
        </w:rPr>
      </w:pPr>
    </w:p>
    <w:p w14:paraId="29954F7C">
      <w:pPr>
        <w:pStyle w:val="57"/>
        <w:rPr>
          <w:rFonts w:hint="eastAsia"/>
          <w:color w:val="auto"/>
        </w:rPr>
      </w:pPr>
    </w:p>
    <w:p w14:paraId="47BD205B">
      <w:pPr>
        <w:pStyle w:val="57"/>
        <w:rPr>
          <w:rFonts w:hint="eastAsia"/>
          <w:color w:val="auto"/>
        </w:rPr>
      </w:pPr>
    </w:p>
    <w:p w14:paraId="76624939">
      <w:pPr>
        <w:rPr>
          <w:rFonts w:hint="eastAsia" w:ascii="仿宋" w:hAnsi="仿宋" w:eastAsia="仿宋" w:cs="仿宋"/>
          <w:color w:val="auto"/>
          <w:highlight w:val="none"/>
        </w:rPr>
      </w:pPr>
    </w:p>
    <w:p w14:paraId="79C3E619">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三、投标人承诺</w:t>
      </w:r>
    </w:p>
    <w:p w14:paraId="0524C178">
      <w:pPr>
        <w:spacing w:line="360" w:lineRule="auto"/>
        <w:rPr>
          <w:rFonts w:hint="eastAsia" w:ascii="仿宋" w:hAnsi="仿宋" w:eastAsia="仿宋" w:cs="仿宋"/>
          <w:bCs/>
          <w:color w:val="auto"/>
          <w:sz w:val="24"/>
          <w:highlight w:val="none"/>
          <w:u w:val="single"/>
        </w:rPr>
      </w:pPr>
      <w:r>
        <w:rPr>
          <w:rFonts w:hint="eastAsia" w:ascii="仿宋" w:hAnsi="仿宋" w:eastAsia="仿宋" w:cs="仿宋"/>
          <w:bCs/>
          <w:color w:val="auto"/>
          <w:sz w:val="24"/>
          <w:highlight w:val="none"/>
        </w:rPr>
        <w:t>致：</w:t>
      </w:r>
      <w:r>
        <w:rPr>
          <w:rFonts w:hint="eastAsia" w:ascii="仿宋" w:hAnsi="仿宋" w:eastAsia="仿宋" w:cs="仿宋"/>
          <w:bCs/>
          <w:color w:val="auto"/>
          <w:sz w:val="24"/>
          <w:highlight w:val="none"/>
          <w:u w:val="single"/>
        </w:rPr>
        <w:t xml:space="preserve"> </w:t>
      </w:r>
      <w:permStart w:id="90" w:edGrp="everyone"/>
      <w:r>
        <w:rPr>
          <w:rFonts w:hint="eastAsia" w:ascii="仿宋" w:hAnsi="仿宋" w:eastAsia="仿宋" w:cs="仿宋"/>
          <w:bCs/>
          <w:color w:val="auto"/>
          <w:sz w:val="24"/>
          <w:highlight w:val="none"/>
          <w:u w:val="single"/>
        </w:rPr>
        <w:t xml:space="preserve">     </w:t>
      </w:r>
      <w:r>
        <w:rPr>
          <w:rFonts w:hint="eastAsia" w:ascii="仿宋" w:hAnsi="仿宋" w:eastAsia="仿宋" w:cs="仿宋"/>
          <w:bCs/>
          <w:color w:val="auto"/>
          <w:sz w:val="24"/>
          <w:highlight w:val="none"/>
          <w:u w:val="single"/>
          <w:lang w:eastAsia="zh-CN"/>
        </w:rPr>
        <w:t>（</w:t>
      </w:r>
      <w:r>
        <w:rPr>
          <w:rFonts w:hint="eastAsia" w:ascii="仿宋" w:hAnsi="仿宋" w:eastAsia="仿宋" w:cs="仿宋"/>
          <w:bCs/>
          <w:color w:val="auto"/>
          <w:sz w:val="24"/>
          <w:highlight w:val="none"/>
          <w:u w:val="single"/>
        </w:rPr>
        <w:t>招标人</w:t>
      </w:r>
      <w:r>
        <w:rPr>
          <w:rFonts w:hint="eastAsia" w:ascii="仿宋" w:hAnsi="仿宋" w:eastAsia="仿宋" w:cs="仿宋"/>
          <w:bCs/>
          <w:color w:val="auto"/>
          <w:sz w:val="24"/>
          <w:highlight w:val="none"/>
          <w:u w:val="single"/>
          <w:lang w:eastAsia="zh-CN"/>
        </w:rPr>
        <w:t>）</w:t>
      </w:r>
      <w:r>
        <w:rPr>
          <w:rFonts w:hint="eastAsia" w:ascii="仿宋" w:hAnsi="仿宋" w:eastAsia="仿宋" w:cs="仿宋"/>
          <w:bCs/>
          <w:color w:val="auto"/>
          <w:sz w:val="24"/>
          <w:highlight w:val="none"/>
          <w:u w:val="single"/>
        </w:rPr>
        <w:t xml:space="preserve">    </w:t>
      </w:r>
      <w:permEnd w:id="90"/>
      <w:r>
        <w:rPr>
          <w:rFonts w:hint="eastAsia" w:ascii="仿宋" w:hAnsi="仿宋" w:eastAsia="仿宋" w:cs="仿宋"/>
          <w:bCs/>
          <w:color w:val="auto"/>
          <w:sz w:val="24"/>
          <w:highlight w:val="none"/>
          <w:u w:val="single"/>
        </w:rPr>
        <w:t xml:space="preserve"> </w:t>
      </w:r>
    </w:p>
    <w:p w14:paraId="45D7648B">
      <w:pPr>
        <w:spacing w:line="360" w:lineRule="auto"/>
        <w:ind w:firstLine="480" w:firstLineChars="200"/>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我单位参与</w:t>
      </w:r>
      <w:r>
        <w:rPr>
          <w:rFonts w:hint="eastAsia" w:ascii="仿宋" w:hAnsi="仿宋" w:eastAsia="仿宋" w:cs="仿宋"/>
          <w:bCs/>
          <w:color w:val="auto"/>
          <w:sz w:val="24"/>
          <w:highlight w:val="none"/>
          <w:u w:val="single"/>
        </w:rPr>
        <w:t xml:space="preserve"> </w:t>
      </w:r>
      <w:permStart w:id="91" w:edGrp="everyone"/>
      <w:r>
        <w:rPr>
          <w:rFonts w:hint="eastAsia" w:ascii="仿宋" w:hAnsi="仿宋" w:eastAsia="仿宋" w:cs="仿宋"/>
          <w:bCs/>
          <w:color w:val="auto"/>
          <w:sz w:val="24"/>
          <w:highlight w:val="none"/>
          <w:u w:val="single"/>
        </w:rPr>
        <w:t>（项目名称）</w:t>
      </w:r>
      <w:permEnd w:id="91"/>
      <w:r>
        <w:rPr>
          <w:rFonts w:hint="eastAsia" w:ascii="仿宋" w:hAnsi="仿宋" w:eastAsia="仿宋" w:cs="仿宋"/>
          <w:bCs/>
          <w:color w:val="auto"/>
          <w:sz w:val="24"/>
          <w:highlight w:val="none"/>
        </w:rPr>
        <w:t>投标，现郑重承诺如下：</w:t>
      </w:r>
    </w:p>
    <w:p w14:paraId="522D46CC">
      <w:pPr>
        <w:spacing w:line="360" w:lineRule="exact"/>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（1）我单位未处于被责令停产停业或解散、暂扣或者吊销执照、暂扣或者吊销许可证、吊销资质证书状态；</w:t>
      </w:r>
    </w:p>
    <w:p w14:paraId="2B99DCAE">
      <w:pPr>
        <w:spacing w:line="360" w:lineRule="exact"/>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（2）我单位未进入清算程序，未被宣告破产，无其他丧失履约能力的情形；</w:t>
      </w:r>
    </w:p>
    <w:p w14:paraId="16D4657F">
      <w:pPr>
        <w:spacing w:line="360" w:lineRule="exact"/>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（3）我单位无</w:t>
      </w:r>
      <w:r>
        <w:rPr>
          <w:rFonts w:hint="eastAsia" w:ascii="仿宋" w:hAnsi="仿宋" w:eastAsia="仿宋" w:cs="仿宋"/>
          <w:color w:val="auto"/>
          <w:highlight w:val="none"/>
        </w:rPr>
        <w:t>财产被接管或冻结等重大财务风险；</w:t>
      </w:r>
    </w:p>
    <w:p w14:paraId="1BCA1C3F">
      <w:pPr>
        <w:spacing w:line="360" w:lineRule="exact"/>
        <w:ind w:firstLine="420" w:firstLineChars="200"/>
        <w:rPr>
          <w:rFonts w:hint="eastAsia" w:ascii="仿宋" w:hAnsi="仿宋" w:eastAsia="仿宋" w:cs="仿宋"/>
          <w:color w:val="auto"/>
          <w:kern w:val="0"/>
          <w:szCs w:val="21"/>
          <w:highlight w:val="none"/>
        </w:rPr>
      </w:pPr>
      <w:r>
        <w:rPr>
          <w:rFonts w:hint="eastAsia" w:ascii="仿宋" w:hAnsi="仿宋" w:eastAsia="仿宋" w:cs="仿宋"/>
          <w:color w:val="auto"/>
          <w:szCs w:val="21"/>
          <w:highlight w:val="none"/>
        </w:rPr>
        <w:t>（4）我单位未被</w:t>
      </w:r>
      <w:r>
        <w:rPr>
          <w:rFonts w:hint="eastAsia" w:ascii="仿宋" w:hAnsi="仿宋" w:eastAsia="仿宋" w:cs="仿宋"/>
          <w:color w:val="auto"/>
          <w:szCs w:val="21"/>
          <w:highlight w:val="none"/>
          <w:lang w:eastAsia="zh-CN"/>
        </w:rPr>
        <w:t>建工水利</w:t>
      </w:r>
      <w:r>
        <w:rPr>
          <w:rFonts w:hint="eastAsia" w:ascii="仿宋" w:hAnsi="仿宋" w:eastAsia="仿宋" w:cs="仿宋"/>
          <w:color w:val="auto"/>
          <w:szCs w:val="21"/>
          <w:highlight w:val="none"/>
        </w:rPr>
        <w:t>及安徽建工集团股份有限公司限制投标；</w:t>
      </w:r>
    </w:p>
    <w:p w14:paraId="6A0E0B28">
      <w:pPr>
        <w:spacing w:line="400" w:lineRule="exact"/>
        <w:ind w:firstLine="420" w:firstLineChars="200"/>
        <w:rPr>
          <w:rFonts w:hint="eastAsia" w:ascii="仿宋" w:hAnsi="仿宋" w:eastAsia="仿宋" w:cs="仿宋"/>
          <w:color w:val="auto"/>
          <w:highlight w:val="none"/>
        </w:rPr>
      </w:pPr>
      <w:r>
        <w:rPr>
          <w:rFonts w:hint="eastAsia" w:ascii="仿宋" w:hAnsi="仿宋" w:eastAsia="仿宋" w:cs="仿宋"/>
          <w:color w:val="auto"/>
          <w:szCs w:val="21"/>
          <w:highlight w:val="none"/>
        </w:rPr>
        <w:t>（5）我单位未出现因</w:t>
      </w:r>
      <w:r>
        <w:rPr>
          <w:rFonts w:hint="eastAsia" w:ascii="仿宋" w:hAnsi="仿宋" w:eastAsia="仿宋" w:cs="仿宋"/>
          <w:color w:val="auto"/>
          <w:highlight w:val="none"/>
        </w:rPr>
        <w:t>在最近三年内发生重大工程质量或重大安全事故被通报或处罚，影响履约行为的情形；</w:t>
      </w:r>
    </w:p>
    <w:p w14:paraId="30DA1DE5">
      <w:pPr>
        <w:spacing w:line="400" w:lineRule="exact"/>
        <w:rPr>
          <w:rFonts w:hint="eastAsia" w:ascii="仿宋" w:hAnsi="仿宋" w:eastAsia="仿宋" w:cs="仿宋"/>
          <w:color w:val="auto"/>
          <w:highlight w:val="none"/>
        </w:rPr>
      </w:pPr>
      <w:permStart w:id="92" w:edGrp="everyone"/>
      <w:r>
        <w:rPr>
          <w:rFonts w:hint="eastAsia"/>
          <w:color w:val="auto"/>
        </w:rPr>
        <w:t xml:space="preserve">      </w:t>
      </w:r>
    </w:p>
    <w:permEnd w:id="92"/>
    <w:p w14:paraId="76EFAE59">
      <w:pPr>
        <w:spacing w:line="480" w:lineRule="auto"/>
        <w:ind w:firstLine="360" w:firstLineChars="150"/>
        <w:rPr>
          <w:rFonts w:hint="eastAsia" w:ascii="仿宋" w:hAnsi="仿宋" w:eastAsia="仿宋" w:cs="仿宋"/>
          <w:bCs/>
          <w:color w:val="auto"/>
          <w:sz w:val="24"/>
          <w:highlight w:val="none"/>
        </w:rPr>
      </w:pPr>
    </w:p>
    <w:p w14:paraId="18B87348">
      <w:pPr>
        <w:spacing w:line="480" w:lineRule="auto"/>
        <w:ind w:firstLine="360" w:firstLineChars="150"/>
        <w:rPr>
          <w:rFonts w:hint="eastAsia" w:ascii="仿宋" w:hAnsi="仿宋" w:eastAsia="仿宋" w:cs="仿宋"/>
          <w:bCs/>
          <w:color w:val="auto"/>
          <w:sz w:val="24"/>
          <w:highlight w:val="none"/>
        </w:rPr>
      </w:pPr>
    </w:p>
    <w:p w14:paraId="0DD4D08E">
      <w:pPr>
        <w:adjustRightInd w:val="0"/>
        <w:snapToGrid w:val="0"/>
        <w:spacing w:before="48" w:beforeLines="20" w:after="48" w:afterLines="20" w:line="540" w:lineRule="exact"/>
        <w:ind w:left="1080"/>
        <w:rPr>
          <w:rFonts w:hint="eastAsia" w:ascii="仿宋" w:hAnsi="仿宋" w:eastAsia="仿宋" w:cs="仿宋"/>
          <w:color w:val="auto"/>
          <w:sz w:val="24"/>
          <w:highlight w:val="none"/>
          <w:u w:val="single"/>
        </w:rPr>
      </w:pPr>
      <w:r>
        <w:rPr>
          <w:rFonts w:hint="eastAsia" w:ascii="仿宋" w:hAnsi="仿宋" w:eastAsia="仿宋" w:cs="仿宋"/>
          <w:color w:val="auto"/>
          <w:sz w:val="24"/>
          <w:highlight w:val="none"/>
        </w:rPr>
        <w:t>投 标 人：</w:t>
      </w:r>
      <w:r>
        <w:rPr>
          <w:rFonts w:hint="eastAsia" w:ascii="仿宋" w:hAnsi="仿宋" w:eastAsia="仿宋" w:cs="仿宋"/>
          <w:color w:val="auto"/>
          <w:sz w:val="24"/>
          <w:highlight w:val="none"/>
          <w:u w:val="single"/>
        </w:rPr>
        <w:t xml:space="preserve">   </w:t>
      </w:r>
      <w:permStart w:id="93" w:edGrp="everyone"/>
      <w:r>
        <w:rPr>
          <w:rFonts w:hint="eastAsia" w:ascii="仿宋" w:hAnsi="仿宋" w:eastAsia="仿宋" w:cs="仿宋"/>
          <w:color w:val="auto"/>
          <w:sz w:val="24"/>
          <w:highlight w:val="none"/>
          <w:u w:val="single"/>
        </w:rPr>
        <w:t xml:space="preserve">   单位名称   （盖章） </w:t>
      </w:r>
      <w:permEnd w:id="93"/>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u w:val="single"/>
        </w:rPr>
        <w:tab/>
      </w:r>
    </w:p>
    <w:p w14:paraId="76BEF726">
      <w:pPr>
        <w:adjustRightInd w:val="0"/>
        <w:snapToGrid w:val="0"/>
        <w:spacing w:before="48" w:beforeLines="20" w:after="48" w:afterLines="20" w:line="540" w:lineRule="exact"/>
        <w:ind w:left="1080"/>
        <w:rPr>
          <w:rFonts w:hint="eastAsia" w:ascii="仿宋" w:hAnsi="仿宋" w:eastAsia="仿宋" w:cs="仿宋"/>
          <w:color w:val="auto"/>
          <w:sz w:val="24"/>
          <w:highlight w:val="none"/>
          <w:u w:val="single"/>
        </w:rPr>
      </w:pPr>
      <w:r>
        <w:rPr>
          <w:rFonts w:hint="eastAsia" w:ascii="仿宋" w:hAnsi="仿宋" w:eastAsia="仿宋" w:cs="仿宋"/>
          <w:color w:val="auto"/>
          <w:sz w:val="24"/>
          <w:highlight w:val="none"/>
        </w:rPr>
        <w:t>法定代表人或</w:t>
      </w:r>
      <w:r>
        <w:rPr>
          <w:rFonts w:hint="eastAsia" w:ascii="仿宋" w:hAnsi="仿宋" w:eastAsia="仿宋" w:cs="仿宋"/>
          <w:color w:val="auto"/>
          <w:sz w:val="24"/>
          <w:highlight w:val="none"/>
          <w:lang w:val="en-US" w:eastAsia="zh-CN"/>
        </w:rPr>
        <w:t>委托</w:t>
      </w:r>
      <w:r>
        <w:rPr>
          <w:rFonts w:hint="eastAsia" w:ascii="仿宋" w:hAnsi="仿宋" w:eastAsia="仿宋" w:cs="仿宋"/>
          <w:color w:val="auto"/>
          <w:sz w:val="24"/>
          <w:highlight w:val="none"/>
        </w:rPr>
        <w:t>代理人：</w:t>
      </w:r>
      <w:r>
        <w:rPr>
          <w:rFonts w:hint="eastAsia" w:ascii="仿宋" w:hAnsi="仿宋" w:eastAsia="仿宋" w:cs="仿宋"/>
          <w:color w:val="auto"/>
          <w:sz w:val="24"/>
          <w:highlight w:val="none"/>
          <w:u w:val="single"/>
        </w:rPr>
        <w:t xml:space="preserve"> </w:t>
      </w:r>
      <w:permStart w:id="94" w:edGrp="everyone"/>
      <w:r>
        <w:rPr>
          <w:rFonts w:hint="eastAsia" w:ascii="仿宋" w:hAnsi="仿宋" w:eastAsia="仿宋" w:cs="仿宋"/>
          <w:color w:val="auto"/>
          <w:sz w:val="24"/>
          <w:highlight w:val="none"/>
          <w:u w:val="single"/>
        </w:rPr>
        <w:t xml:space="preserve">   签字或盖章</w:t>
      </w:r>
      <w:permEnd w:id="94"/>
      <w:r>
        <w:rPr>
          <w:rFonts w:hint="eastAsia" w:ascii="仿宋" w:hAnsi="仿宋" w:eastAsia="仿宋" w:cs="仿宋"/>
          <w:color w:val="auto"/>
          <w:sz w:val="24"/>
          <w:highlight w:val="none"/>
          <w:u w:val="single"/>
        </w:rPr>
        <w:t xml:space="preserve">  </w:t>
      </w:r>
    </w:p>
    <w:p w14:paraId="42142DEE">
      <w:pPr>
        <w:adjustRightInd w:val="0"/>
        <w:snapToGrid w:val="0"/>
        <w:spacing w:before="48" w:beforeLines="20" w:after="48" w:afterLines="20" w:line="540" w:lineRule="exact"/>
        <w:ind w:left="1080"/>
        <w:rPr>
          <w:rFonts w:hint="eastAsia" w:ascii="仿宋" w:hAnsi="仿宋" w:eastAsia="仿宋" w:cs="仿宋"/>
          <w:color w:val="auto"/>
          <w:sz w:val="24"/>
          <w:highlight w:val="none"/>
        </w:rPr>
      </w:pPr>
      <w:r>
        <w:rPr>
          <w:rFonts w:hint="eastAsia" w:ascii="仿宋" w:hAnsi="仿宋" w:eastAsia="仿宋" w:cs="仿宋"/>
          <w:color w:val="auto"/>
          <w:sz w:val="24"/>
          <w:highlight w:val="none"/>
        </w:rPr>
        <w:t>日期：</w:t>
      </w:r>
      <w:permStart w:id="95" w:edGrp="everyone"/>
      <w:r>
        <w:rPr>
          <w:rFonts w:hint="eastAsia" w:ascii="仿宋" w:hAnsi="仿宋" w:eastAsia="仿宋" w:cs="仿宋"/>
          <w:color w:val="auto"/>
          <w:sz w:val="24"/>
          <w:highlight w:val="none"/>
        </w:rPr>
        <w:t>_____年____月____</w:t>
      </w:r>
    </w:p>
    <w:permEnd w:id="95"/>
    <w:p w14:paraId="3C5F838C">
      <w:pPr>
        <w:ind w:firstLine="1320" w:firstLineChars="550"/>
        <w:rPr>
          <w:rFonts w:hint="eastAsia" w:ascii="仿宋" w:hAnsi="仿宋" w:eastAsia="仿宋" w:cs="仿宋"/>
          <w:color w:val="auto"/>
          <w:sz w:val="24"/>
          <w:highlight w:val="none"/>
          <w:lang w:val="zh-CN"/>
        </w:rPr>
      </w:pPr>
      <w:bookmarkStart w:id="157" w:name="_Toc356313093"/>
    </w:p>
    <w:p w14:paraId="5C19CCBF">
      <w:pPr>
        <w:ind w:firstLine="1546" w:firstLineChars="550"/>
        <w:rPr>
          <w:rFonts w:hint="eastAsia" w:ascii="仿宋" w:hAnsi="仿宋" w:eastAsia="仿宋" w:cs="仿宋"/>
          <w:b/>
          <w:bCs/>
          <w:color w:val="auto"/>
          <w:sz w:val="28"/>
          <w:szCs w:val="28"/>
          <w:highlight w:val="none"/>
          <w:lang w:val="zh-CN"/>
        </w:rPr>
      </w:pPr>
    </w:p>
    <w:p w14:paraId="51CA7013">
      <w:pPr>
        <w:pStyle w:val="9"/>
        <w:rPr>
          <w:rFonts w:hint="eastAsia" w:ascii="仿宋" w:hAnsi="仿宋" w:eastAsia="仿宋" w:cs="仿宋"/>
          <w:b/>
          <w:bCs/>
          <w:color w:val="auto"/>
          <w:sz w:val="28"/>
          <w:szCs w:val="28"/>
          <w:highlight w:val="none"/>
          <w:lang w:val="zh-CN"/>
        </w:rPr>
      </w:pPr>
    </w:p>
    <w:p w14:paraId="451D117F">
      <w:pPr>
        <w:rPr>
          <w:rFonts w:hint="eastAsia" w:ascii="仿宋" w:hAnsi="仿宋" w:eastAsia="仿宋" w:cs="仿宋"/>
          <w:b/>
          <w:bCs/>
          <w:color w:val="auto"/>
          <w:sz w:val="28"/>
          <w:szCs w:val="28"/>
          <w:highlight w:val="none"/>
          <w:lang w:val="zh-CN"/>
        </w:rPr>
      </w:pPr>
    </w:p>
    <w:p w14:paraId="7AB63856">
      <w:pPr>
        <w:pStyle w:val="9"/>
        <w:rPr>
          <w:rFonts w:hint="eastAsia" w:ascii="仿宋" w:hAnsi="仿宋" w:eastAsia="仿宋" w:cs="仿宋"/>
          <w:b/>
          <w:bCs/>
          <w:color w:val="auto"/>
          <w:sz w:val="28"/>
          <w:szCs w:val="28"/>
          <w:highlight w:val="none"/>
          <w:lang w:val="zh-CN"/>
        </w:rPr>
      </w:pPr>
    </w:p>
    <w:p w14:paraId="2983C815">
      <w:pPr>
        <w:rPr>
          <w:rFonts w:hint="eastAsia" w:ascii="仿宋" w:hAnsi="仿宋" w:eastAsia="仿宋" w:cs="仿宋"/>
          <w:b/>
          <w:bCs/>
          <w:color w:val="auto"/>
          <w:sz w:val="28"/>
          <w:szCs w:val="28"/>
          <w:highlight w:val="none"/>
          <w:lang w:val="zh-CN"/>
        </w:rPr>
      </w:pPr>
    </w:p>
    <w:p w14:paraId="4A3C8BFB">
      <w:pPr>
        <w:pStyle w:val="9"/>
        <w:rPr>
          <w:rFonts w:hint="eastAsia" w:ascii="仿宋" w:hAnsi="仿宋" w:eastAsia="仿宋" w:cs="仿宋"/>
          <w:b/>
          <w:bCs/>
          <w:color w:val="auto"/>
          <w:sz w:val="28"/>
          <w:szCs w:val="28"/>
          <w:highlight w:val="none"/>
          <w:lang w:val="zh-CN"/>
        </w:rPr>
      </w:pPr>
    </w:p>
    <w:p w14:paraId="69248918">
      <w:pPr>
        <w:rPr>
          <w:rFonts w:hint="eastAsia" w:ascii="仿宋" w:hAnsi="仿宋" w:eastAsia="仿宋" w:cs="仿宋"/>
          <w:b/>
          <w:bCs/>
          <w:color w:val="auto"/>
          <w:sz w:val="28"/>
          <w:szCs w:val="28"/>
          <w:highlight w:val="none"/>
          <w:lang w:val="zh-CN"/>
        </w:rPr>
      </w:pPr>
    </w:p>
    <w:p w14:paraId="38579AAA">
      <w:pPr>
        <w:pStyle w:val="57"/>
        <w:rPr>
          <w:rFonts w:hint="eastAsia" w:ascii="仿宋" w:hAnsi="仿宋" w:eastAsia="仿宋" w:cs="仿宋"/>
          <w:b w:val="0"/>
          <w:bCs w:val="0"/>
          <w:color w:val="auto"/>
          <w:sz w:val="28"/>
          <w:szCs w:val="28"/>
          <w:highlight w:val="none"/>
          <w:lang w:val="zh-CN"/>
        </w:rPr>
      </w:pPr>
    </w:p>
    <w:p w14:paraId="2B02BA06">
      <w:pPr>
        <w:pStyle w:val="57"/>
        <w:rPr>
          <w:rFonts w:hint="eastAsia" w:ascii="仿宋" w:hAnsi="仿宋" w:eastAsia="仿宋" w:cs="仿宋"/>
          <w:b w:val="0"/>
          <w:bCs w:val="0"/>
          <w:color w:val="auto"/>
          <w:sz w:val="28"/>
          <w:szCs w:val="28"/>
          <w:highlight w:val="none"/>
          <w:lang w:val="zh-CN"/>
        </w:rPr>
      </w:pPr>
    </w:p>
    <w:p w14:paraId="7CA779F5">
      <w:pPr>
        <w:pStyle w:val="57"/>
        <w:rPr>
          <w:rFonts w:hint="eastAsia" w:ascii="仿宋" w:hAnsi="仿宋" w:eastAsia="仿宋" w:cs="仿宋"/>
          <w:b w:val="0"/>
          <w:bCs w:val="0"/>
          <w:color w:val="auto"/>
          <w:sz w:val="28"/>
          <w:szCs w:val="28"/>
          <w:highlight w:val="none"/>
          <w:lang w:val="zh-CN"/>
        </w:rPr>
      </w:pPr>
    </w:p>
    <w:p w14:paraId="276636AF">
      <w:pPr>
        <w:pStyle w:val="57"/>
        <w:rPr>
          <w:rFonts w:hint="eastAsia" w:ascii="仿宋" w:hAnsi="仿宋" w:eastAsia="仿宋" w:cs="仿宋"/>
          <w:b w:val="0"/>
          <w:bCs w:val="0"/>
          <w:color w:val="auto"/>
          <w:sz w:val="28"/>
          <w:szCs w:val="28"/>
          <w:highlight w:val="none"/>
          <w:lang w:val="zh-CN"/>
        </w:rPr>
      </w:pPr>
    </w:p>
    <w:p w14:paraId="3A529B5A">
      <w:pPr>
        <w:pStyle w:val="57"/>
        <w:rPr>
          <w:rFonts w:hint="eastAsia" w:ascii="仿宋" w:hAnsi="仿宋" w:eastAsia="仿宋" w:cs="仿宋"/>
          <w:b w:val="0"/>
          <w:bCs w:val="0"/>
          <w:color w:val="auto"/>
          <w:sz w:val="28"/>
          <w:szCs w:val="28"/>
          <w:highlight w:val="none"/>
          <w:lang w:val="zh-CN"/>
        </w:rPr>
      </w:pPr>
    </w:p>
    <w:p w14:paraId="3928851E">
      <w:pPr>
        <w:pStyle w:val="9"/>
        <w:rPr>
          <w:rFonts w:hint="eastAsia" w:ascii="仿宋" w:hAnsi="仿宋" w:eastAsia="仿宋" w:cs="仿宋"/>
          <w:b/>
          <w:bCs/>
          <w:color w:val="auto"/>
          <w:sz w:val="28"/>
          <w:szCs w:val="28"/>
          <w:highlight w:val="none"/>
          <w:lang w:val="zh-CN"/>
        </w:rPr>
      </w:pPr>
      <w:permStart w:id="96" w:edGrp="everyone"/>
      <w:permEnd w:id="96"/>
    </w:p>
    <w:p w14:paraId="5FE0450D">
      <w:pPr>
        <w:rPr>
          <w:rFonts w:hint="eastAsia" w:ascii="仿宋" w:hAnsi="仿宋" w:eastAsia="仿宋" w:cs="仿宋"/>
          <w:color w:val="auto"/>
          <w:highlight w:val="none"/>
          <w:lang w:val="zh-CN"/>
        </w:rPr>
      </w:pPr>
    </w:p>
    <w:bookmarkEnd w:id="157"/>
    <w:p w14:paraId="3C176816">
      <w:pPr>
        <w:jc w:val="center"/>
        <w:rPr>
          <w:rFonts w:hint="eastAsia" w:ascii="仿宋" w:hAnsi="仿宋" w:eastAsia="仿宋" w:cs="仿宋"/>
          <w:b/>
          <w:color w:val="auto"/>
          <w:sz w:val="32"/>
          <w:szCs w:val="32"/>
          <w:highlight w:val="none"/>
        </w:rPr>
      </w:pPr>
      <w:bookmarkStart w:id="158" w:name="_Toc439064353"/>
      <w:bookmarkStart w:id="159" w:name="_Toc425766288"/>
      <w:bookmarkStart w:id="160" w:name="_Toc493786058"/>
      <w:bookmarkStart w:id="161" w:name="_Toc430008095"/>
      <w:bookmarkStart w:id="162" w:name="_Toc423877694"/>
      <w:r>
        <w:rPr>
          <w:rFonts w:hint="eastAsia" w:ascii="仿宋" w:hAnsi="仿宋" w:eastAsia="仿宋" w:cs="仿宋"/>
          <w:b/>
          <w:color w:val="auto"/>
          <w:sz w:val="32"/>
          <w:szCs w:val="32"/>
          <w:highlight w:val="none"/>
        </w:rPr>
        <w:t>四、资格审查</w:t>
      </w:r>
      <w:bookmarkEnd w:id="158"/>
      <w:bookmarkEnd w:id="159"/>
      <w:bookmarkEnd w:id="160"/>
      <w:bookmarkEnd w:id="161"/>
      <w:bookmarkEnd w:id="162"/>
      <w:r>
        <w:rPr>
          <w:rFonts w:hint="eastAsia" w:ascii="仿宋" w:hAnsi="仿宋" w:eastAsia="仿宋" w:cs="仿宋"/>
          <w:b/>
          <w:color w:val="auto"/>
          <w:sz w:val="32"/>
          <w:szCs w:val="32"/>
          <w:highlight w:val="none"/>
        </w:rPr>
        <w:t>资料</w:t>
      </w:r>
    </w:p>
    <w:p w14:paraId="5C2B45C2">
      <w:pPr>
        <w:spacing w:line="340" w:lineRule="exact"/>
        <w:rPr>
          <w:rFonts w:hint="eastAsia" w:ascii="仿宋" w:hAnsi="仿宋" w:eastAsia="仿宋" w:cs="仿宋"/>
          <w:bCs/>
          <w:color w:val="auto"/>
          <w:szCs w:val="21"/>
          <w:highlight w:val="none"/>
        </w:rPr>
      </w:pPr>
    </w:p>
    <w:p w14:paraId="281ECCDF">
      <w:pPr>
        <w:spacing w:line="34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（附能够证明投标单位资格满足招标文件要求的材料复印件，</w:t>
      </w:r>
      <w:r>
        <w:rPr>
          <w:rFonts w:hint="eastAsia" w:ascii="仿宋" w:hAnsi="仿宋" w:eastAsia="仿宋" w:cs="仿宋"/>
          <w:bCs/>
          <w:color w:val="auto"/>
          <w:sz w:val="28"/>
          <w:szCs w:val="28"/>
          <w:highlight w:val="none"/>
        </w:rPr>
        <w:t>如营业执照、</w:t>
      </w:r>
      <w:r>
        <w:rPr>
          <w:rFonts w:hint="eastAsia" w:ascii="仿宋" w:hAnsi="仿宋" w:eastAsia="仿宋" w:cs="仿宋"/>
          <w:bCs/>
          <w:color w:val="auto"/>
          <w:sz w:val="28"/>
          <w:szCs w:val="28"/>
          <w:highlight w:val="none"/>
          <w:lang w:val="en-US" w:eastAsia="zh-CN"/>
        </w:rPr>
        <w:t>资质证书、</w:t>
      </w:r>
      <w:r>
        <w:rPr>
          <w:rFonts w:hint="eastAsia" w:ascii="仿宋" w:hAnsi="仿宋" w:eastAsia="仿宋" w:cs="仿宋"/>
          <w:bCs/>
          <w:color w:val="auto"/>
          <w:sz w:val="28"/>
          <w:szCs w:val="28"/>
          <w:highlight w:val="none"/>
        </w:rPr>
        <w:t>业绩</w:t>
      </w:r>
      <w:r>
        <w:rPr>
          <w:rFonts w:hint="eastAsia" w:ascii="仿宋" w:hAnsi="仿宋" w:eastAsia="仿宋" w:cs="仿宋"/>
          <w:bCs/>
          <w:color w:val="auto"/>
          <w:sz w:val="28"/>
          <w:szCs w:val="28"/>
          <w:highlight w:val="none"/>
          <w:lang w:val="en-US" w:eastAsia="zh-CN"/>
        </w:rPr>
        <w:t>材料</w:t>
      </w:r>
      <w:r>
        <w:rPr>
          <w:rFonts w:hint="eastAsia" w:ascii="仿宋" w:hAnsi="仿宋" w:eastAsia="仿宋" w:cs="仿宋"/>
          <w:bCs/>
          <w:color w:val="auto"/>
          <w:sz w:val="28"/>
          <w:szCs w:val="28"/>
          <w:highlight w:val="none"/>
        </w:rPr>
        <w:t>等。</w:t>
      </w:r>
      <w:r>
        <w:rPr>
          <w:rFonts w:hint="eastAsia" w:ascii="仿宋" w:hAnsi="仿宋" w:eastAsia="仿宋" w:cs="仿宋"/>
          <w:color w:val="auto"/>
          <w:sz w:val="28"/>
          <w:szCs w:val="28"/>
          <w:highlight w:val="none"/>
        </w:rPr>
        <w:t>）</w:t>
      </w:r>
    </w:p>
    <w:p w14:paraId="513A05EA">
      <w:pPr>
        <w:jc w:val="center"/>
        <w:rPr>
          <w:rFonts w:hint="eastAsia" w:ascii="仿宋" w:hAnsi="仿宋" w:eastAsia="仿宋" w:cs="仿宋"/>
          <w:b/>
          <w:color w:val="auto"/>
          <w:sz w:val="32"/>
          <w:szCs w:val="32"/>
          <w:highlight w:val="none"/>
        </w:rPr>
      </w:pPr>
      <w:bookmarkStart w:id="163" w:name="_Toc500318619"/>
    </w:p>
    <w:p w14:paraId="58470124">
      <w:pPr>
        <w:jc w:val="center"/>
        <w:rPr>
          <w:rFonts w:hint="eastAsia" w:ascii="仿宋" w:hAnsi="仿宋" w:eastAsia="仿宋" w:cs="仿宋"/>
          <w:b/>
          <w:color w:val="auto"/>
          <w:sz w:val="32"/>
          <w:szCs w:val="32"/>
          <w:highlight w:val="none"/>
        </w:rPr>
      </w:pPr>
      <w:permStart w:id="97" w:edGrp="everyone"/>
      <w:r>
        <w:rPr>
          <w:rFonts w:hint="eastAsia"/>
          <w:color w:val="auto"/>
        </w:rPr>
        <w:t xml:space="preserve">            </w:t>
      </w:r>
    </w:p>
    <w:permEnd w:id="97"/>
    <w:p w14:paraId="0CA6CC3C">
      <w:pPr>
        <w:jc w:val="center"/>
        <w:rPr>
          <w:rFonts w:hint="eastAsia" w:ascii="仿宋" w:hAnsi="仿宋" w:eastAsia="仿宋" w:cs="仿宋"/>
          <w:b/>
          <w:color w:val="auto"/>
          <w:sz w:val="32"/>
          <w:szCs w:val="32"/>
          <w:highlight w:val="none"/>
        </w:rPr>
      </w:pPr>
    </w:p>
    <w:p w14:paraId="7ED874F3">
      <w:pPr>
        <w:jc w:val="center"/>
        <w:rPr>
          <w:rFonts w:hint="eastAsia" w:ascii="仿宋" w:hAnsi="仿宋" w:eastAsia="仿宋" w:cs="仿宋"/>
          <w:b/>
          <w:color w:val="auto"/>
          <w:sz w:val="32"/>
          <w:szCs w:val="32"/>
          <w:highlight w:val="none"/>
        </w:rPr>
      </w:pPr>
    </w:p>
    <w:p w14:paraId="3BB8DF5E">
      <w:pPr>
        <w:jc w:val="center"/>
        <w:rPr>
          <w:rFonts w:hint="eastAsia" w:ascii="仿宋" w:hAnsi="仿宋" w:eastAsia="仿宋" w:cs="仿宋"/>
          <w:b/>
          <w:color w:val="auto"/>
          <w:sz w:val="32"/>
          <w:szCs w:val="32"/>
          <w:highlight w:val="none"/>
        </w:rPr>
      </w:pPr>
    </w:p>
    <w:p w14:paraId="04524B0A">
      <w:pPr>
        <w:jc w:val="center"/>
        <w:rPr>
          <w:rFonts w:hint="eastAsia" w:ascii="仿宋" w:hAnsi="仿宋" w:eastAsia="仿宋" w:cs="仿宋"/>
          <w:b/>
          <w:color w:val="auto"/>
          <w:sz w:val="32"/>
          <w:szCs w:val="32"/>
          <w:highlight w:val="none"/>
        </w:rPr>
      </w:pPr>
    </w:p>
    <w:p w14:paraId="30A829C9">
      <w:pPr>
        <w:jc w:val="center"/>
        <w:rPr>
          <w:rFonts w:hint="eastAsia" w:ascii="仿宋" w:hAnsi="仿宋" w:eastAsia="仿宋" w:cs="仿宋"/>
          <w:b/>
          <w:color w:val="auto"/>
          <w:sz w:val="32"/>
          <w:szCs w:val="32"/>
          <w:highlight w:val="none"/>
        </w:rPr>
      </w:pPr>
    </w:p>
    <w:p w14:paraId="657EDA34">
      <w:pPr>
        <w:jc w:val="center"/>
        <w:rPr>
          <w:rFonts w:hint="eastAsia" w:ascii="仿宋" w:hAnsi="仿宋" w:eastAsia="仿宋" w:cs="仿宋"/>
          <w:b/>
          <w:color w:val="auto"/>
          <w:sz w:val="32"/>
          <w:szCs w:val="32"/>
          <w:highlight w:val="none"/>
        </w:rPr>
      </w:pPr>
    </w:p>
    <w:p w14:paraId="2E61D6F6">
      <w:pPr>
        <w:jc w:val="center"/>
        <w:rPr>
          <w:rFonts w:hint="eastAsia" w:ascii="仿宋" w:hAnsi="仿宋" w:eastAsia="仿宋" w:cs="仿宋"/>
          <w:b/>
          <w:color w:val="auto"/>
          <w:sz w:val="32"/>
          <w:szCs w:val="32"/>
          <w:highlight w:val="none"/>
        </w:rPr>
      </w:pPr>
    </w:p>
    <w:p w14:paraId="650B6208">
      <w:pPr>
        <w:jc w:val="center"/>
        <w:rPr>
          <w:rFonts w:hint="eastAsia" w:ascii="仿宋" w:hAnsi="仿宋" w:eastAsia="仿宋" w:cs="仿宋"/>
          <w:b/>
          <w:color w:val="auto"/>
          <w:sz w:val="32"/>
          <w:szCs w:val="32"/>
          <w:highlight w:val="none"/>
        </w:rPr>
      </w:pPr>
    </w:p>
    <w:p w14:paraId="1CB555AF">
      <w:pPr>
        <w:jc w:val="center"/>
        <w:rPr>
          <w:rFonts w:hint="eastAsia" w:ascii="仿宋" w:hAnsi="仿宋" w:eastAsia="仿宋" w:cs="仿宋"/>
          <w:b/>
          <w:color w:val="auto"/>
          <w:sz w:val="32"/>
          <w:szCs w:val="32"/>
          <w:highlight w:val="none"/>
        </w:rPr>
      </w:pPr>
    </w:p>
    <w:p w14:paraId="080C0657">
      <w:pPr>
        <w:jc w:val="center"/>
        <w:rPr>
          <w:rFonts w:hint="eastAsia" w:ascii="仿宋" w:hAnsi="仿宋" w:eastAsia="仿宋" w:cs="仿宋"/>
          <w:b/>
          <w:color w:val="auto"/>
          <w:sz w:val="32"/>
          <w:szCs w:val="32"/>
          <w:highlight w:val="none"/>
        </w:rPr>
      </w:pPr>
    </w:p>
    <w:p w14:paraId="7FA0BC12">
      <w:pPr>
        <w:jc w:val="center"/>
        <w:rPr>
          <w:rFonts w:hint="eastAsia" w:ascii="仿宋" w:hAnsi="仿宋" w:eastAsia="仿宋" w:cs="仿宋"/>
          <w:b/>
          <w:color w:val="auto"/>
          <w:sz w:val="32"/>
          <w:szCs w:val="32"/>
          <w:highlight w:val="none"/>
        </w:rPr>
      </w:pPr>
    </w:p>
    <w:p w14:paraId="3C3342FC">
      <w:pPr>
        <w:jc w:val="center"/>
        <w:rPr>
          <w:rFonts w:hint="eastAsia" w:ascii="仿宋" w:hAnsi="仿宋" w:eastAsia="仿宋" w:cs="仿宋"/>
          <w:b/>
          <w:color w:val="auto"/>
          <w:sz w:val="32"/>
          <w:szCs w:val="32"/>
          <w:highlight w:val="none"/>
        </w:rPr>
      </w:pPr>
    </w:p>
    <w:p w14:paraId="28DE68FB">
      <w:pPr>
        <w:jc w:val="center"/>
        <w:rPr>
          <w:rFonts w:hint="eastAsia" w:ascii="仿宋" w:hAnsi="仿宋" w:eastAsia="仿宋" w:cs="仿宋"/>
          <w:b/>
          <w:color w:val="auto"/>
          <w:sz w:val="32"/>
          <w:szCs w:val="32"/>
          <w:highlight w:val="none"/>
        </w:rPr>
      </w:pPr>
    </w:p>
    <w:p w14:paraId="624CEFC5">
      <w:pPr>
        <w:jc w:val="center"/>
        <w:rPr>
          <w:rFonts w:hint="eastAsia" w:ascii="仿宋" w:hAnsi="仿宋" w:eastAsia="仿宋" w:cs="仿宋"/>
          <w:b/>
          <w:color w:val="auto"/>
          <w:sz w:val="32"/>
          <w:szCs w:val="32"/>
          <w:highlight w:val="none"/>
        </w:rPr>
      </w:pPr>
    </w:p>
    <w:p w14:paraId="1725332F">
      <w:pPr>
        <w:jc w:val="center"/>
        <w:rPr>
          <w:rFonts w:hint="eastAsia" w:ascii="仿宋" w:hAnsi="仿宋" w:eastAsia="仿宋" w:cs="仿宋"/>
          <w:b/>
          <w:color w:val="auto"/>
          <w:sz w:val="32"/>
          <w:szCs w:val="32"/>
          <w:highlight w:val="none"/>
        </w:rPr>
      </w:pPr>
    </w:p>
    <w:p w14:paraId="1DD6AD90">
      <w:pPr>
        <w:jc w:val="center"/>
        <w:rPr>
          <w:rFonts w:hint="eastAsia" w:ascii="仿宋" w:hAnsi="仿宋" w:eastAsia="仿宋" w:cs="仿宋"/>
          <w:b/>
          <w:color w:val="auto"/>
          <w:sz w:val="32"/>
          <w:szCs w:val="32"/>
          <w:highlight w:val="none"/>
        </w:rPr>
      </w:pPr>
    </w:p>
    <w:p w14:paraId="5515E7DE">
      <w:pPr>
        <w:jc w:val="center"/>
        <w:rPr>
          <w:rFonts w:hint="eastAsia" w:ascii="仿宋" w:hAnsi="仿宋" w:eastAsia="仿宋" w:cs="仿宋"/>
          <w:b/>
          <w:color w:val="auto"/>
          <w:sz w:val="32"/>
          <w:szCs w:val="32"/>
          <w:highlight w:val="none"/>
        </w:rPr>
      </w:pPr>
    </w:p>
    <w:p w14:paraId="6E42B968">
      <w:pPr>
        <w:jc w:val="center"/>
        <w:rPr>
          <w:rFonts w:hint="eastAsia" w:ascii="仿宋" w:hAnsi="仿宋" w:eastAsia="仿宋" w:cs="仿宋"/>
          <w:b/>
          <w:color w:val="auto"/>
          <w:sz w:val="32"/>
          <w:szCs w:val="32"/>
          <w:highlight w:val="none"/>
        </w:rPr>
      </w:pPr>
    </w:p>
    <w:p w14:paraId="50557614">
      <w:pPr>
        <w:jc w:val="center"/>
        <w:rPr>
          <w:rFonts w:hint="eastAsia" w:ascii="仿宋" w:hAnsi="仿宋" w:eastAsia="仿宋" w:cs="仿宋"/>
          <w:b/>
          <w:color w:val="auto"/>
          <w:sz w:val="32"/>
          <w:szCs w:val="32"/>
          <w:highlight w:val="none"/>
        </w:rPr>
      </w:pPr>
    </w:p>
    <w:p w14:paraId="6F6B4C5F">
      <w:pPr>
        <w:jc w:val="center"/>
        <w:rPr>
          <w:rFonts w:hint="eastAsia" w:ascii="仿宋" w:hAnsi="仿宋" w:eastAsia="仿宋" w:cs="仿宋"/>
          <w:b/>
          <w:color w:val="auto"/>
          <w:sz w:val="32"/>
          <w:szCs w:val="32"/>
          <w:highlight w:val="none"/>
        </w:rPr>
      </w:pPr>
    </w:p>
    <w:p w14:paraId="5A3527EC">
      <w:pPr>
        <w:jc w:val="center"/>
        <w:rPr>
          <w:rFonts w:hint="eastAsia" w:ascii="仿宋" w:hAnsi="仿宋" w:eastAsia="仿宋" w:cs="仿宋"/>
          <w:b/>
          <w:color w:val="auto"/>
          <w:sz w:val="32"/>
          <w:szCs w:val="32"/>
          <w:highlight w:val="none"/>
        </w:rPr>
      </w:pPr>
    </w:p>
    <w:p w14:paraId="29826DF0">
      <w:pPr>
        <w:jc w:val="center"/>
        <w:rPr>
          <w:rFonts w:hint="eastAsia" w:ascii="仿宋" w:hAnsi="仿宋" w:eastAsia="仿宋" w:cs="仿宋"/>
          <w:b/>
          <w:color w:val="auto"/>
          <w:sz w:val="32"/>
          <w:szCs w:val="32"/>
          <w:highlight w:val="none"/>
        </w:rPr>
      </w:pPr>
    </w:p>
    <w:p w14:paraId="70E5ED6F">
      <w:pPr>
        <w:jc w:val="center"/>
        <w:rPr>
          <w:rFonts w:hint="eastAsia" w:ascii="仿宋" w:hAnsi="仿宋" w:eastAsia="仿宋" w:cs="仿宋"/>
          <w:b/>
          <w:color w:val="auto"/>
          <w:sz w:val="32"/>
          <w:szCs w:val="32"/>
          <w:highlight w:val="none"/>
        </w:rPr>
      </w:pPr>
    </w:p>
    <w:p w14:paraId="7A37E9E0">
      <w:pPr>
        <w:jc w:val="center"/>
        <w:rPr>
          <w:rFonts w:hint="eastAsia" w:ascii="仿宋" w:hAnsi="仿宋" w:eastAsia="仿宋" w:cs="仿宋"/>
          <w:b/>
          <w:color w:val="auto"/>
          <w:sz w:val="32"/>
          <w:szCs w:val="32"/>
          <w:highlight w:val="none"/>
        </w:rPr>
      </w:pPr>
    </w:p>
    <w:p w14:paraId="4521F857">
      <w:pPr>
        <w:jc w:val="center"/>
        <w:rPr>
          <w:rFonts w:hint="eastAsia" w:ascii="仿宋" w:hAnsi="仿宋" w:eastAsia="仿宋" w:cs="仿宋"/>
          <w:b/>
          <w:color w:val="auto"/>
          <w:sz w:val="32"/>
          <w:szCs w:val="32"/>
          <w:highlight w:val="none"/>
        </w:rPr>
      </w:pPr>
    </w:p>
    <w:p w14:paraId="3973F65A">
      <w:pPr>
        <w:jc w:val="center"/>
        <w:rPr>
          <w:rFonts w:hint="eastAsia" w:ascii="仿宋" w:hAnsi="仿宋" w:eastAsia="仿宋" w:cs="仿宋"/>
          <w:b/>
          <w:color w:val="auto"/>
          <w:sz w:val="32"/>
          <w:szCs w:val="32"/>
          <w:highlight w:val="none"/>
        </w:rPr>
      </w:pPr>
    </w:p>
    <w:p w14:paraId="54889533">
      <w:pPr>
        <w:jc w:val="center"/>
        <w:rPr>
          <w:rFonts w:hint="eastAsia" w:ascii="仿宋" w:hAnsi="仿宋" w:eastAsia="仿宋" w:cs="仿宋"/>
          <w:b/>
          <w:color w:val="auto"/>
          <w:sz w:val="32"/>
          <w:szCs w:val="32"/>
          <w:highlight w:val="none"/>
        </w:rPr>
      </w:pPr>
    </w:p>
    <w:p w14:paraId="228AD8BB">
      <w:pPr>
        <w:jc w:val="center"/>
        <w:rPr>
          <w:rFonts w:hint="eastAsia" w:ascii="仿宋" w:hAnsi="仿宋" w:eastAsia="仿宋" w:cs="仿宋"/>
          <w:b/>
          <w:color w:val="auto"/>
          <w:sz w:val="32"/>
          <w:szCs w:val="32"/>
          <w:highlight w:val="none"/>
        </w:rPr>
      </w:pPr>
    </w:p>
    <w:p w14:paraId="278B4C83">
      <w:pPr>
        <w:jc w:val="center"/>
        <w:rPr>
          <w:rFonts w:hint="eastAsia" w:ascii="仿宋" w:hAnsi="仿宋" w:eastAsia="仿宋" w:cs="仿宋"/>
          <w:b/>
          <w:color w:val="auto"/>
          <w:sz w:val="32"/>
          <w:szCs w:val="32"/>
          <w:highlight w:val="none"/>
        </w:rPr>
      </w:pPr>
      <w:r>
        <w:rPr>
          <w:rFonts w:hint="eastAsia" w:ascii="仿宋" w:hAnsi="仿宋" w:eastAsia="仿宋" w:cs="仿宋"/>
          <w:b/>
          <w:color w:val="auto"/>
          <w:sz w:val="32"/>
          <w:szCs w:val="32"/>
          <w:highlight w:val="none"/>
        </w:rPr>
        <w:t>五、其他资料</w:t>
      </w:r>
      <w:bookmarkEnd w:id="163"/>
    </w:p>
    <w:p w14:paraId="2B851498">
      <w:pPr>
        <w:autoSpaceDE w:val="0"/>
        <w:autoSpaceDN w:val="0"/>
        <w:adjustRightInd w:val="0"/>
        <w:spacing w:line="360" w:lineRule="auto"/>
        <w:jc w:val="left"/>
        <w:rPr>
          <w:rFonts w:hint="eastAsia" w:ascii="仿宋" w:hAnsi="仿宋" w:eastAsia="仿宋" w:cs="仿宋"/>
          <w:color w:val="auto"/>
          <w:sz w:val="24"/>
          <w:highlight w:val="none"/>
          <w:lang w:val="zh-CN"/>
        </w:rPr>
      </w:pPr>
    </w:p>
    <w:p w14:paraId="7F097ED2">
      <w:pPr>
        <w:numPr>
          <w:ilvl w:val="0"/>
          <w:numId w:val="6"/>
        </w:numPr>
        <w:autoSpaceDE w:val="0"/>
        <w:autoSpaceDN w:val="0"/>
        <w:adjustRightInd w:val="0"/>
        <w:spacing w:line="360" w:lineRule="auto"/>
        <w:jc w:val="left"/>
        <w:rPr>
          <w:rFonts w:hint="eastAsia" w:ascii="仿宋" w:hAnsi="仿宋" w:eastAsia="仿宋" w:cs="仿宋"/>
          <w:color w:val="auto"/>
          <w:sz w:val="24"/>
          <w:highlight w:val="none"/>
          <w:lang w:val="zh-CN"/>
        </w:rPr>
      </w:pPr>
      <w:r>
        <w:rPr>
          <w:rFonts w:hint="eastAsia" w:ascii="仿宋" w:hAnsi="仿宋" w:eastAsia="仿宋" w:cs="仿宋"/>
          <w:color w:val="auto"/>
          <w:highlight w:val="none"/>
          <w:lang w:val="en-US" w:eastAsia="zh-CN"/>
        </w:rPr>
        <w:t>招标文件要求提供的</w:t>
      </w:r>
      <w:r>
        <w:rPr>
          <w:rFonts w:hint="eastAsia" w:ascii="仿宋" w:hAnsi="仿宋" w:eastAsia="仿宋" w:cs="仿宋"/>
          <w:color w:val="auto"/>
          <w:highlight w:val="none"/>
          <w:lang w:val="zh-CN"/>
        </w:rPr>
        <w:t>其他资料</w:t>
      </w:r>
      <w:r>
        <w:rPr>
          <w:rFonts w:hint="eastAsia" w:ascii="仿宋" w:hAnsi="仿宋" w:eastAsia="仿宋" w:cs="仿宋"/>
          <w:color w:val="auto"/>
          <w:highlight w:val="none"/>
        </w:rPr>
        <w:t>；</w:t>
      </w:r>
    </w:p>
    <w:p w14:paraId="56D405BD">
      <w:pPr>
        <w:numPr>
          <w:ilvl w:val="0"/>
          <w:numId w:val="6"/>
        </w:numPr>
        <w:autoSpaceDE w:val="0"/>
        <w:autoSpaceDN w:val="0"/>
        <w:adjustRightInd w:val="0"/>
        <w:spacing w:line="360" w:lineRule="auto"/>
        <w:jc w:val="left"/>
        <w:rPr>
          <w:rFonts w:hint="eastAsia" w:ascii="仿宋" w:hAnsi="仿宋" w:eastAsia="仿宋" w:cs="仿宋"/>
          <w:color w:val="auto"/>
          <w:highlight w:val="none"/>
          <w:lang w:val="zh-CN"/>
        </w:rPr>
      </w:pPr>
      <w:r>
        <w:rPr>
          <w:rFonts w:hint="eastAsia" w:ascii="仿宋" w:hAnsi="仿宋" w:eastAsia="仿宋" w:cs="仿宋"/>
          <w:color w:val="auto"/>
          <w:highlight w:val="none"/>
          <w:lang w:val="zh-CN"/>
        </w:rPr>
        <w:t>投标人认为需要提供的可增加其竞争力的其他资料；</w:t>
      </w:r>
    </w:p>
    <w:p w14:paraId="429B2C2A">
      <w:pPr>
        <w:autoSpaceDE w:val="0"/>
        <w:autoSpaceDN w:val="0"/>
        <w:adjustRightInd w:val="0"/>
        <w:spacing w:line="360" w:lineRule="auto"/>
        <w:jc w:val="left"/>
        <w:rPr>
          <w:rFonts w:hint="eastAsia" w:ascii="仿宋" w:hAnsi="仿宋" w:eastAsia="仿宋" w:cs="仿宋"/>
          <w:color w:val="auto"/>
          <w:sz w:val="24"/>
          <w:highlight w:val="none"/>
          <w:lang w:val="zh-CN"/>
        </w:rPr>
      </w:pPr>
      <w:permStart w:id="98" w:edGrp="everyone"/>
      <w:r>
        <w:rPr>
          <w:rFonts w:hint="eastAsia"/>
          <w:color w:val="auto"/>
        </w:rPr>
        <w:t xml:space="preserve">           </w:t>
      </w:r>
    </w:p>
    <w:permEnd w:id="98"/>
    <w:p w14:paraId="087D3298">
      <w:pPr>
        <w:autoSpaceDE w:val="0"/>
        <w:autoSpaceDN w:val="0"/>
        <w:adjustRightInd w:val="0"/>
        <w:spacing w:line="360" w:lineRule="auto"/>
        <w:jc w:val="left"/>
        <w:rPr>
          <w:rFonts w:hint="eastAsia" w:ascii="仿宋" w:hAnsi="仿宋" w:eastAsia="仿宋" w:cs="仿宋"/>
          <w:color w:val="auto"/>
          <w:sz w:val="24"/>
          <w:highlight w:val="none"/>
          <w:lang w:val="zh-CN"/>
        </w:rPr>
      </w:pPr>
    </w:p>
    <w:p w14:paraId="01AE9705">
      <w:pPr>
        <w:autoSpaceDE w:val="0"/>
        <w:autoSpaceDN w:val="0"/>
        <w:adjustRightInd w:val="0"/>
        <w:spacing w:line="360" w:lineRule="auto"/>
        <w:jc w:val="left"/>
        <w:rPr>
          <w:rFonts w:hint="eastAsia" w:ascii="仿宋" w:hAnsi="仿宋" w:eastAsia="仿宋" w:cs="仿宋"/>
          <w:color w:val="auto"/>
          <w:sz w:val="24"/>
          <w:highlight w:val="none"/>
          <w:lang w:val="zh-CN"/>
        </w:rPr>
      </w:pPr>
    </w:p>
    <w:p w14:paraId="356E1862">
      <w:pPr>
        <w:autoSpaceDE w:val="0"/>
        <w:autoSpaceDN w:val="0"/>
        <w:adjustRightInd w:val="0"/>
        <w:spacing w:line="360" w:lineRule="auto"/>
        <w:jc w:val="left"/>
        <w:rPr>
          <w:rFonts w:hint="eastAsia" w:ascii="仿宋" w:hAnsi="仿宋" w:eastAsia="仿宋" w:cs="仿宋"/>
          <w:color w:val="auto"/>
          <w:sz w:val="24"/>
          <w:highlight w:val="none"/>
          <w:lang w:val="zh-CN"/>
        </w:rPr>
      </w:pPr>
    </w:p>
    <w:p w14:paraId="73780E86">
      <w:pPr>
        <w:autoSpaceDE w:val="0"/>
        <w:autoSpaceDN w:val="0"/>
        <w:adjustRightInd w:val="0"/>
        <w:spacing w:line="360" w:lineRule="auto"/>
        <w:jc w:val="left"/>
        <w:rPr>
          <w:rFonts w:hint="eastAsia" w:ascii="仿宋" w:hAnsi="仿宋" w:eastAsia="仿宋" w:cs="仿宋"/>
          <w:color w:val="auto"/>
          <w:kern w:val="0"/>
          <w:sz w:val="24"/>
          <w:highlight w:val="none"/>
          <w:lang w:val="zh-CN"/>
        </w:rPr>
      </w:pPr>
      <w:r>
        <w:rPr>
          <w:rFonts w:hint="eastAsia" w:ascii="仿宋" w:hAnsi="仿宋" w:eastAsia="仿宋" w:cs="仿宋"/>
          <w:color w:val="auto"/>
          <w:kern w:val="0"/>
          <w:sz w:val="24"/>
          <w:highlight w:val="none"/>
          <w:lang w:val="zh-CN"/>
        </w:rPr>
        <w:t xml:space="preserve"> </w:t>
      </w:r>
    </w:p>
    <w:p w14:paraId="1E61A858">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5209B0A8">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4785BCB0">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48832FF5">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7697168C">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1232F442">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3E7C71F4">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415A6A88">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25A6CEC4">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0EE8A9C5">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3BCB9C43">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3CDF19CD">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1ABE5176">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7685EEDE">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2B2D51C7">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4D5EB631">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0C03DCA1">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0229BB38">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199D5AEA">
      <w:pPr>
        <w:autoSpaceDE w:val="0"/>
        <w:autoSpaceDN w:val="0"/>
        <w:adjustRightInd w:val="0"/>
        <w:spacing w:line="360" w:lineRule="auto"/>
        <w:jc w:val="left"/>
        <w:rPr>
          <w:rFonts w:hint="eastAsia" w:ascii="仿宋" w:hAnsi="仿宋" w:eastAsia="仿宋" w:cs="仿宋"/>
          <w:color w:val="auto"/>
          <w:kern w:val="0"/>
          <w:sz w:val="24"/>
          <w:highlight w:val="none"/>
          <w:lang w:val="zh-CN"/>
        </w:rPr>
      </w:pPr>
    </w:p>
    <w:p w14:paraId="3E01EED6">
      <w:pPr>
        <w:spacing w:line="340" w:lineRule="exact"/>
        <w:rPr>
          <w:rFonts w:hint="eastAsia" w:ascii="仿宋" w:hAnsi="仿宋" w:eastAsia="仿宋" w:cs="仿宋"/>
          <w:color w:val="auto"/>
          <w:szCs w:val="22"/>
          <w:highlight w:val="none"/>
        </w:rPr>
      </w:pPr>
    </w:p>
    <w:p w14:paraId="5AB89DC5">
      <w:pPr>
        <w:spacing w:line="340" w:lineRule="exact"/>
        <w:rPr>
          <w:rFonts w:hint="eastAsia" w:ascii="仿宋" w:hAnsi="仿宋" w:eastAsia="仿宋" w:cs="仿宋"/>
          <w:color w:val="auto"/>
          <w:szCs w:val="22"/>
          <w:highlight w:val="none"/>
        </w:rPr>
      </w:pPr>
      <w:permStart w:id="99" w:edGrp="everyone"/>
    </w:p>
    <w:p w14:paraId="363D388B">
      <w:pPr>
        <w:spacing w:line="340" w:lineRule="exact"/>
        <w:jc w:val="center"/>
        <w:rPr>
          <w:rFonts w:hint="eastAsia" w:ascii="仿宋" w:hAnsi="仿宋" w:eastAsia="仿宋" w:cs="仿宋"/>
          <w:b/>
          <w:color w:val="auto"/>
          <w:sz w:val="32"/>
          <w:szCs w:val="32"/>
          <w:highlight w:val="none"/>
          <w:lang w:val="en-US" w:eastAsia="zh-CN"/>
        </w:rPr>
      </w:pPr>
      <w:r>
        <w:rPr>
          <w:rFonts w:hint="eastAsia" w:ascii="仿宋" w:hAnsi="仿宋" w:eastAsia="仿宋" w:cs="仿宋"/>
          <w:b/>
          <w:color w:val="auto"/>
          <w:sz w:val="32"/>
          <w:szCs w:val="32"/>
          <w:highlight w:val="none"/>
        </w:rPr>
        <w:t>六、 供货方案</w:t>
      </w:r>
      <w:r>
        <w:rPr>
          <w:rFonts w:hint="eastAsia" w:ascii="仿宋" w:hAnsi="仿宋" w:eastAsia="仿宋" w:cs="仿宋"/>
          <w:b/>
          <w:color w:val="auto"/>
          <w:sz w:val="32"/>
          <w:szCs w:val="32"/>
          <w:highlight w:val="none"/>
          <w:lang w:eastAsia="zh-CN"/>
        </w:rPr>
        <w:t>（</w:t>
      </w:r>
      <w:r>
        <w:rPr>
          <w:rFonts w:hint="eastAsia" w:ascii="仿宋" w:hAnsi="仿宋" w:eastAsia="仿宋" w:cs="仿宋"/>
          <w:b/>
          <w:color w:val="auto"/>
          <w:sz w:val="32"/>
          <w:szCs w:val="32"/>
          <w:highlight w:val="none"/>
          <w:lang w:val="en-US" w:eastAsia="zh-CN"/>
        </w:rPr>
        <w:t>如要求，请明确）</w:t>
      </w:r>
    </w:p>
    <w:p w14:paraId="43CA772E">
      <w:pPr>
        <w:spacing w:line="340" w:lineRule="exact"/>
        <w:rPr>
          <w:rFonts w:hint="eastAsia" w:ascii="仿宋" w:hAnsi="仿宋" w:eastAsia="仿宋" w:cs="仿宋"/>
          <w:b/>
          <w:color w:val="auto"/>
          <w:sz w:val="32"/>
          <w:szCs w:val="32"/>
          <w:highlight w:val="none"/>
        </w:rPr>
      </w:pPr>
    </w:p>
    <w:p w14:paraId="299723B9">
      <w:pPr>
        <w:spacing w:line="40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供货周期保证措施；</w:t>
      </w:r>
    </w:p>
    <w:p w14:paraId="6E4BBC84">
      <w:pPr>
        <w:spacing w:line="40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供货质量保证措施；</w:t>
      </w:r>
    </w:p>
    <w:p w14:paraId="5EDE7143">
      <w:pPr>
        <w:spacing w:line="40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使用方法（或注意事项）；</w:t>
      </w:r>
    </w:p>
    <w:p w14:paraId="710BC5F8">
      <w:pPr>
        <w:spacing w:line="400" w:lineRule="exact"/>
        <w:ind w:firstLine="630" w:firstLineChars="30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质保；</w:t>
      </w:r>
    </w:p>
    <w:p w14:paraId="46491436">
      <w:pPr>
        <w:spacing w:line="400" w:lineRule="exact"/>
        <w:ind w:firstLine="630" w:firstLineChars="300"/>
        <w:rPr>
          <w:rFonts w:hint="eastAsia" w:ascii="仿宋" w:hAnsi="仿宋" w:eastAsia="仿宋" w:cs="仿宋"/>
          <w:b/>
          <w:color w:val="auto"/>
          <w:sz w:val="32"/>
          <w:szCs w:val="32"/>
          <w:highlight w:val="none"/>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5</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rPr>
        <w:t>有必要说明的其他内容。</w:t>
      </w:r>
    </w:p>
    <w:permEnd w:id="99"/>
    <w:p w14:paraId="4EF7A76D">
      <w:pPr>
        <w:spacing w:line="340" w:lineRule="exact"/>
        <w:rPr>
          <w:rFonts w:hint="eastAsia" w:ascii="仿宋" w:hAnsi="仿宋" w:eastAsia="仿宋" w:cs="仿宋"/>
          <w:b/>
          <w:color w:val="auto"/>
          <w:sz w:val="32"/>
          <w:szCs w:val="32"/>
          <w:highlight w:val="none"/>
        </w:rPr>
      </w:pPr>
    </w:p>
    <w:p w14:paraId="376E1BBB">
      <w:pPr>
        <w:spacing w:line="340" w:lineRule="exact"/>
        <w:rPr>
          <w:rFonts w:hint="eastAsia" w:ascii="仿宋" w:hAnsi="仿宋" w:eastAsia="仿宋" w:cs="仿宋"/>
          <w:b/>
          <w:color w:val="auto"/>
          <w:sz w:val="32"/>
          <w:szCs w:val="32"/>
          <w:highlight w:val="none"/>
        </w:rPr>
      </w:pPr>
    </w:p>
    <w:sectPr>
      <w:headerReference r:id="rId4" w:type="first"/>
      <w:footerReference r:id="rId6" w:type="first"/>
      <w:headerReference r:id="rId3" w:type="default"/>
      <w:footerReference r:id="rId5" w:type="default"/>
      <w:pgSz w:w="11906" w:h="16838"/>
      <w:pgMar w:top="1402" w:right="1286" w:bottom="935" w:left="1338" w:header="851" w:footer="992" w:gutter="0"/>
      <w:pgNumType w:start="1"/>
      <w:cols w:space="720" w:num="1"/>
      <w:titlePg/>
      <w:docGrid w:linePitch="312" w:charSpace="64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9A383F4-8D30-4120-90B1-841EF3093D67}"/>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2209D0F0-6295-451A-90B0-17CDB4E2913C}"/>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Calibri Light">
    <w:panose1 w:val="020F0302020204030204"/>
    <w:charset w:val="00"/>
    <w:family w:val="swiss"/>
    <w:pitch w:val="default"/>
    <w:sig w:usb0="E4002EFF" w:usb1="C200247B" w:usb2="00000009" w:usb3="00000000" w:csb0="200001FF" w:csb1="00000000"/>
  </w:font>
  <w:font w:name="Arial Unicode MS">
    <w:altName w:val="宋体"/>
    <w:panose1 w:val="020B0604020202020204"/>
    <w:charset w:val="86"/>
    <w:family w:val="swiss"/>
    <w:pitch w:val="default"/>
    <w:sig w:usb0="00000000" w:usb1="00000000" w:usb2="0000003F" w:usb3="00000000" w:csb0="603F01FF" w:csb1="FFFF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EF6D7">
    <w:pPr>
      <w:pStyle w:val="17"/>
      <w:jc w:val="center"/>
      <w:rPr>
        <w:rFonts w:hint="eastAsia"/>
      </w:rPr>
    </w:pPr>
    <w:r>
      <w:rPr>
        <w:rFonts w:hint="eastAsia"/>
      </w:rPr>
      <w:t>第</w:t>
    </w:r>
    <w:r>
      <w:fldChar w:fldCharType="begin"/>
    </w:r>
    <w:r>
      <w:rPr>
        <w:rStyle w:val="32"/>
      </w:rPr>
      <w:instrText xml:space="preserve"> PAGE </w:instrText>
    </w:r>
    <w:r>
      <w:fldChar w:fldCharType="separate"/>
    </w:r>
    <w:r>
      <w:rPr>
        <w:rStyle w:val="32"/>
      </w:rPr>
      <w:t>30</w:t>
    </w:r>
    <w:r>
      <w:fldChar w:fldCharType="end"/>
    </w:r>
    <w:r>
      <w:rPr>
        <w:rFonts w:hint="eastAsia"/>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598DF">
    <w:pPr>
      <w:pStyle w:val="17"/>
      <w:jc w:val="center"/>
      <w:rPr>
        <w:rFonts w:hint="eastAsia"/>
      </w:rPr>
    </w:pPr>
    <w:r>
      <w:rPr>
        <w:rStyle w:val="32"/>
        <w:rFonts w:hint="eastAsia"/>
      </w:rPr>
      <w:t>第1页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AC7A8">
    <w:pPr>
      <w:pStyle w:val="18"/>
      <w:jc w:val="left"/>
      <w:rPr>
        <w:rFonts w:hint="eastAsia"/>
      </w:rPr>
    </w:pPr>
    <w:r>
      <w:rPr>
        <w:sz w:val="18"/>
      </w:rPr>
      <w:pict>
        <v:shape id="PowerPlusWaterMarkObject393075" o:spid="_x0000_s5138" o:spt="136" type="#_x0000_t136" style="position:absolute;left:0pt;height:48.3pt;width:169.6pt;mso-position-horizontal:right;mso-position-horizontal-relative:margin;mso-position-vertical:top;mso-position-vertical-relative:margin;rotation:-2949120f;z-index:-251657216;mso-width-relative:page;mso-height-relative:page;" fillcolor="#BFBFBF" filled="t" stroked="f" coordsize="21600,21600" adj="10800">
          <v:path/>
          <v:fill on="t" opacity="34078f" focussize="0,0"/>
          <v:stroke on="f"/>
          <v:imagedata o:title=""/>
          <o:lock v:ext="edit" aspectratio="t"/>
          <v:textpath on="t" fitshape="t" fitpath="t" trim="t" xscale="f" string="建工水利" style="font-family:仿宋;font-size:48pt;v-same-letter-heights:f;v-text-align:center;"/>
        </v:shape>
      </w:pict>
    </w:r>
    <w:r>
      <w:rPr>
        <w:rStyle w:val="31"/>
        <w:rFonts w:hint="eastAsia"/>
        <w:lang w:val="en-US" w:eastAsia="zh-CN"/>
      </w:rPr>
      <w:t>建工</w:t>
    </w:r>
    <w:r>
      <w:rPr>
        <w:rStyle w:val="31"/>
        <w:rFonts w:hint="eastAsia"/>
      </w:rPr>
      <w:t>水利采购</w:t>
    </w:r>
    <w:r>
      <w:rPr>
        <w:rStyle w:val="31"/>
        <w:rFonts w:hint="eastAsia"/>
        <w:lang w:val="en-US" w:eastAsia="zh-CN"/>
      </w:rPr>
      <w:t>类</w:t>
    </w:r>
    <w:r>
      <w:rPr>
        <w:rStyle w:val="31"/>
        <w:rFonts w:hint="eastAsia"/>
      </w:rPr>
      <w:t>招标文件范本（</w:t>
    </w:r>
    <w:r>
      <w:rPr>
        <w:rStyle w:val="31"/>
        <w:rFonts w:hint="eastAsia"/>
        <w:lang w:val="en-US" w:eastAsia="zh-CN"/>
      </w:rPr>
      <w:t>A类评标法</w:t>
    </w:r>
    <w:r>
      <w:rPr>
        <w:rStyle w:val="31"/>
        <w:rFonts w:hint="eastAsia"/>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1BC3E">
    <w:pPr>
      <w:pStyle w:val="18"/>
      <w:jc w:val="left"/>
      <w:rPr>
        <w:rFonts w:hint="default"/>
        <w:lang w:val="en-US" w:eastAsia="zh-CN"/>
      </w:rPr>
    </w:pPr>
    <w:r>
      <w:rPr>
        <w:sz w:val="18"/>
      </w:rPr>
      <w:pict>
        <v:shape id="PowerPlusWaterMarkObject420849" o:spid="_x0000_s5139" o:spt="136" type="#_x0000_t136" style="position:absolute;left:0pt;height:48.3pt;width:169.6pt;mso-position-horizontal:right;mso-position-horizontal-relative:margin;mso-position-vertical:top;mso-position-vertical-relative:margin;rotation:-2949120f;z-index:-251656192;mso-width-relative:page;mso-height-relative:page;" fillcolor="#BFBFBF" filled="t" stroked="f" coordsize="21600,21600" adj="10800">
          <v:path/>
          <v:fill on="t" opacity="34078f" focussize="0,0"/>
          <v:stroke on="f"/>
          <v:imagedata o:title=""/>
          <o:lock v:ext="edit" aspectratio="t"/>
          <v:textpath on="t" fitshape="t" fitpath="t" trim="t" xscale="f" string="建工水利" style="font-family:仿宋;font-size:48pt;v-same-letter-heights:f;v-text-align:center;"/>
        </v:shape>
      </w:pict>
    </w:r>
    <w:r>
      <w:rPr>
        <w:rStyle w:val="31"/>
        <w:rFonts w:hint="eastAsia"/>
        <w:lang w:val="en-US" w:eastAsia="zh-CN"/>
      </w:rPr>
      <w:t>建工</w:t>
    </w:r>
    <w:r>
      <w:rPr>
        <w:rStyle w:val="31"/>
        <w:rFonts w:hint="eastAsia"/>
      </w:rPr>
      <w:t>水利采购</w:t>
    </w:r>
    <w:r>
      <w:rPr>
        <w:rStyle w:val="31"/>
        <w:rFonts w:hint="eastAsia"/>
        <w:lang w:val="en-US" w:eastAsia="zh-CN"/>
      </w:rPr>
      <w:t>类</w:t>
    </w:r>
    <w:r>
      <w:rPr>
        <w:rStyle w:val="31"/>
        <w:rFonts w:hint="eastAsia"/>
      </w:rPr>
      <w:t>招标文件范本（</w:t>
    </w:r>
    <w:r>
      <w:rPr>
        <w:rStyle w:val="31"/>
        <w:rFonts w:hint="eastAsia"/>
        <w:lang w:val="en-US" w:eastAsia="zh-CN"/>
      </w:rPr>
      <w:t>A类评标法</w:t>
    </w:r>
    <w:r>
      <w:rPr>
        <w:rStyle w:val="31"/>
        <w:rFonts w:hint="eastAsia"/>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74D66D"/>
    <w:multiLevelType w:val="singleLevel"/>
    <w:tmpl w:val="C574D66D"/>
    <w:lvl w:ilvl="0" w:tentative="0">
      <w:start w:val="3"/>
      <w:numFmt w:val="chineseCounting"/>
      <w:suff w:val="nothing"/>
      <w:lvlText w:val="（%1）"/>
      <w:lvlJc w:val="left"/>
      <w:rPr>
        <w:rFonts w:hint="eastAsia"/>
      </w:rPr>
    </w:lvl>
  </w:abstractNum>
  <w:abstractNum w:abstractNumId="1">
    <w:nsid w:val="15E51C39"/>
    <w:multiLevelType w:val="multilevel"/>
    <w:tmpl w:val="15E51C3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398947A"/>
    <w:multiLevelType w:val="singleLevel"/>
    <w:tmpl w:val="5398947A"/>
    <w:lvl w:ilvl="0" w:tentative="0">
      <w:start w:val="2"/>
      <w:numFmt w:val="chineseCounting"/>
      <w:suff w:val="nothing"/>
      <w:lvlText w:val="%1、"/>
      <w:lvlJc w:val="left"/>
      <w:rPr>
        <w:rFonts w:hint="eastAsia"/>
      </w:rPr>
    </w:lvl>
  </w:abstractNum>
  <w:abstractNum w:abstractNumId="3">
    <w:nsid w:val="53D791B8"/>
    <w:multiLevelType w:val="singleLevel"/>
    <w:tmpl w:val="53D791B8"/>
    <w:lvl w:ilvl="0" w:tentative="0">
      <w:start w:val="1"/>
      <w:numFmt w:val="bullet"/>
      <w:pStyle w:val="6"/>
      <w:lvlText w:val=""/>
      <w:lvlJc w:val="left"/>
      <w:pPr>
        <w:tabs>
          <w:tab w:val="left" w:pos="360"/>
        </w:tabs>
        <w:ind w:left="360" w:hanging="360"/>
      </w:pPr>
      <w:rPr>
        <w:rFonts w:hint="default" w:ascii="Wingdings" w:hAnsi="Wingdings"/>
      </w:rPr>
    </w:lvl>
  </w:abstractNum>
  <w:abstractNum w:abstractNumId="4">
    <w:nsid w:val="590FE9F3"/>
    <w:multiLevelType w:val="singleLevel"/>
    <w:tmpl w:val="590FE9F3"/>
    <w:lvl w:ilvl="0" w:tentative="0">
      <w:start w:val="4"/>
      <w:numFmt w:val="decimal"/>
      <w:suff w:val="nothing"/>
      <w:lvlText w:val="（%1）"/>
      <w:lvlJc w:val="left"/>
    </w:lvl>
  </w:abstractNum>
  <w:abstractNum w:abstractNumId="5">
    <w:nsid w:val="5949C56D"/>
    <w:multiLevelType w:val="singleLevel"/>
    <w:tmpl w:val="5949C56D"/>
    <w:lvl w:ilvl="0" w:tentative="0">
      <w:start w:val="1"/>
      <w:numFmt w:val="decimal"/>
      <w:suff w:val="nothing"/>
      <w:lvlText w:val="（%1）"/>
      <w:lvlJc w:val="left"/>
      <w:pPr>
        <w:ind w:left="6"/>
      </w:pPr>
    </w:lvl>
  </w:abstractNum>
  <w:num w:numId="1">
    <w:abstractNumId w:val="3"/>
  </w:num>
  <w:num w:numId="2">
    <w:abstractNumId w:val="5"/>
  </w:num>
  <w:num w:numId="3">
    <w:abstractNumId w:val="4"/>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4,5"/>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VkMDNiZWMwNDIwZGQzMmQ3NzI2YzIwMmIxM2VhYTgifQ=="/>
    <w:docVar w:name="KSO_WPS_MARK_KEY" w:val="0fac823a-7b0b-434d-8b59-47093709a660"/>
  </w:docVars>
  <w:rsids>
    <w:rsidRoot w:val="00172A27"/>
    <w:rsid w:val="00000606"/>
    <w:rsid w:val="000025CE"/>
    <w:rsid w:val="00003BA1"/>
    <w:rsid w:val="0000410B"/>
    <w:rsid w:val="00005304"/>
    <w:rsid w:val="00006E7A"/>
    <w:rsid w:val="0000709E"/>
    <w:rsid w:val="00007168"/>
    <w:rsid w:val="00010F66"/>
    <w:rsid w:val="00011642"/>
    <w:rsid w:val="00011B1A"/>
    <w:rsid w:val="00012496"/>
    <w:rsid w:val="000124E4"/>
    <w:rsid w:val="00015A1F"/>
    <w:rsid w:val="00017191"/>
    <w:rsid w:val="00017C50"/>
    <w:rsid w:val="00021D92"/>
    <w:rsid w:val="00022ADF"/>
    <w:rsid w:val="00023432"/>
    <w:rsid w:val="0002441B"/>
    <w:rsid w:val="0002483F"/>
    <w:rsid w:val="00024F41"/>
    <w:rsid w:val="00026E93"/>
    <w:rsid w:val="00030929"/>
    <w:rsid w:val="00031227"/>
    <w:rsid w:val="000314BB"/>
    <w:rsid w:val="00032C9A"/>
    <w:rsid w:val="00033DAF"/>
    <w:rsid w:val="000348BD"/>
    <w:rsid w:val="00036DD5"/>
    <w:rsid w:val="00041239"/>
    <w:rsid w:val="000422AB"/>
    <w:rsid w:val="0004295E"/>
    <w:rsid w:val="00044C26"/>
    <w:rsid w:val="00046444"/>
    <w:rsid w:val="000471BE"/>
    <w:rsid w:val="0004745B"/>
    <w:rsid w:val="00050D79"/>
    <w:rsid w:val="000546BD"/>
    <w:rsid w:val="00054F65"/>
    <w:rsid w:val="00055581"/>
    <w:rsid w:val="00055D5C"/>
    <w:rsid w:val="00056228"/>
    <w:rsid w:val="00057777"/>
    <w:rsid w:val="00062C9B"/>
    <w:rsid w:val="000638A2"/>
    <w:rsid w:val="0006443D"/>
    <w:rsid w:val="00065F0D"/>
    <w:rsid w:val="000674C5"/>
    <w:rsid w:val="00071494"/>
    <w:rsid w:val="000734D8"/>
    <w:rsid w:val="00074437"/>
    <w:rsid w:val="000745B8"/>
    <w:rsid w:val="00074E1C"/>
    <w:rsid w:val="00075297"/>
    <w:rsid w:val="000762C3"/>
    <w:rsid w:val="000775D8"/>
    <w:rsid w:val="0007762C"/>
    <w:rsid w:val="000777E0"/>
    <w:rsid w:val="0008142A"/>
    <w:rsid w:val="000836AC"/>
    <w:rsid w:val="0008446D"/>
    <w:rsid w:val="00084EB9"/>
    <w:rsid w:val="000865A7"/>
    <w:rsid w:val="000901A6"/>
    <w:rsid w:val="00091F4E"/>
    <w:rsid w:val="00094A2A"/>
    <w:rsid w:val="000951D6"/>
    <w:rsid w:val="00097B80"/>
    <w:rsid w:val="00097FDC"/>
    <w:rsid w:val="000A06AE"/>
    <w:rsid w:val="000A425A"/>
    <w:rsid w:val="000A57D8"/>
    <w:rsid w:val="000A6DAD"/>
    <w:rsid w:val="000A7D7D"/>
    <w:rsid w:val="000B0480"/>
    <w:rsid w:val="000B1C81"/>
    <w:rsid w:val="000B2550"/>
    <w:rsid w:val="000B4376"/>
    <w:rsid w:val="000B4394"/>
    <w:rsid w:val="000B5FDA"/>
    <w:rsid w:val="000C11A4"/>
    <w:rsid w:val="000C1D8F"/>
    <w:rsid w:val="000C208B"/>
    <w:rsid w:val="000C4D9B"/>
    <w:rsid w:val="000D018B"/>
    <w:rsid w:val="000D06A3"/>
    <w:rsid w:val="000D1FF8"/>
    <w:rsid w:val="000D4CBE"/>
    <w:rsid w:val="000D6105"/>
    <w:rsid w:val="000D6C76"/>
    <w:rsid w:val="000D6DEC"/>
    <w:rsid w:val="000E0890"/>
    <w:rsid w:val="000E0B9F"/>
    <w:rsid w:val="000E29BA"/>
    <w:rsid w:val="000E5DDC"/>
    <w:rsid w:val="000F0114"/>
    <w:rsid w:val="000F09C3"/>
    <w:rsid w:val="000F0CA5"/>
    <w:rsid w:val="000F1DDF"/>
    <w:rsid w:val="000F237C"/>
    <w:rsid w:val="000F2509"/>
    <w:rsid w:val="000F3179"/>
    <w:rsid w:val="000F70F8"/>
    <w:rsid w:val="000F7A46"/>
    <w:rsid w:val="00100872"/>
    <w:rsid w:val="00101239"/>
    <w:rsid w:val="001015C5"/>
    <w:rsid w:val="001019B1"/>
    <w:rsid w:val="00101CEF"/>
    <w:rsid w:val="00102AA5"/>
    <w:rsid w:val="001030F6"/>
    <w:rsid w:val="00104E91"/>
    <w:rsid w:val="00105B79"/>
    <w:rsid w:val="00106586"/>
    <w:rsid w:val="00107BAE"/>
    <w:rsid w:val="001107BF"/>
    <w:rsid w:val="0011113F"/>
    <w:rsid w:val="00114AC2"/>
    <w:rsid w:val="0011690F"/>
    <w:rsid w:val="00117566"/>
    <w:rsid w:val="001208BB"/>
    <w:rsid w:val="00121650"/>
    <w:rsid w:val="0012265A"/>
    <w:rsid w:val="00123A8C"/>
    <w:rsid w:val="00124A3C"/>
    <w:rsid w:val="00125232"/>
    <w:rsid w:val="001267FE"/>
    <w:rsid w:val="00127B51"/>
    <w:rsid w:val="00130343"/>
    <w:rsid w:val="001310BE"/>
    <w:rsid w:val="0014132A"/>
    <w:rsid w:val="00141864"/>
    <w:rsid w:val="00147F9E"/>
    <w:rsid w:val="00147FBC"/>
    <w:rsid w:val="0015123B"/>
    <w:rsid w:val="0015256B"/>
    <w:rsid w:val="00154DE0"/>
    <w:rsid w:val="001553A8"/>
    <w:rsid w:val="001561F3"/>
    <w:rsid w:val="0016012F"/>
    <w:rsid w:val="00160908"/>
    <w:rsid w:val="00160C1B"/>
    <w:rsid w:val="00160D23"/>
    <w:rsid w:val="00161027"/>
    <w:rsid w:val="00161948"/>
    <w:rsid w:val="00162A10"/>
    <w:rsid w:val="00170041"/>
    <w:rsid w:val="00171613"/>
    <w:rsid w:val="00172B1E"/>
    <w:rsid w:val="00173E11"/>
    <w:rsid w:val="00174D36"/>
    <w:rsid w:val="00176262"/>
    <w:rsid w:val="00176872"/>
    <w:rsid w:val="0017687C"/>
    <w:rsid w:val="001768E3"/>
    <w:rsid w:val="0017797B"/>
    <w:rsid w:val="00180C44"/>
    <w:rsid w:val="00182A56"/>
    <w:rsid w:val="00182C91"/>
    <w:rsid w:val="0018717D"/>
    <w:rsid w:val="00187BDC"/>
    <w:rsid w:val="00187F30"/>
    <w:rsid w:val="00194C23"/>
    <w:rsid w:val="001961E5"/>
    <w:rsid w:val="001979E0"/>
    <w:rsid w:val="001A0444"/>
    <w:rsid w:val="001A0AD8"/>
    <w:rsid w:val="001B0370"/>
    <w:rsid w:val="001B127F"/>
    <w:rsid w:val="001B2B7C"/>
    <w:rsid w:val="001B2F50"/>
    <w:rsid w:val="001B345E"/>
    <w:rsid w:val="001B3BDE"/>
    <w:rsid w:val="001B5201"/>
    <w:rsid w:val="001B696F"/>
    <w:rsid w:val="001C09C9"/>
    <w:rsid w:val="001C2348"/>
    <w:rsid w:val="001C579D"/>
    <w:rsid w:val="001C5CF2"/>
    <w:rsid w:val="001C67A3"/>
    <w:rsid w:val="001C7067"/>
    <w:rsid w:val="001C7ACE"/>
    <w:rsid w:val="001D207B"/>
    <w:rsid w:val="001D23D2"/>
    <w:rsid w:val="001D3053"/>
    <w:rsid w:val="001D500E"/>
    <w:rsid w:val="001D5C5A"/>
    <w:rsid w:val="001D6F82"/>
    <w:rsid w:val="001D7413"/>
    <w:rsid w:val="001E0AFD"/>
    <w:rsid w:val="001E0B9F"/>
    <w:rsid w:val="001E2818"/>
    <w:rsid w:val="001E4104"/>
    <w:rsid w:val="001E4596"/>
    <w:rsid w:val="001E4A01"/>
    <w:rsid w:val="001E6957"/>
    <w:rsid w:val="001E6DE5"/>
    <w:rsid w:val="001E7E80"/>
    <w:rsid w:val="001F00E8"/>
    <w:rsid w:val="001F09A4"/>
    <w:rsid w:val="001F2112"/>
    <w:rsid w:val="001F5992"/>
    <w:rsid w:val="001F6BFB"/>
    <w:rsid w:val="001F70DF"/>
    <w:rsid w:val="001F7CF1"/>
    <w:rsid w:val="00200576"/>
    <w:rsid w:val="00204777"/>
    <w:rsid w:val="00206F6C"/>
    <w:rsid w:val="00210C8B"/>
    <w:rsid w:val="002113DB"/>
    <w:rsid w:val="0021151E"/>
    <w:rsid w:val="0021258A"/>
    <w:rsid w:val="00212C41"/>
    <w:rsid w:val="002131B4"/>
    <w:rsid w:val="002143CB"/>
    <w:rsid w:val="002168C4"/>
    <w:rsid w:val="00217A02"/>
    <w:rsid w:val="00220F39"/>
    <w:rsid w:val="0022273E"/>
    <w:rsid w:val="002240FC"/>
    <w:rsid w:val="00224476"/>
    <w:rsid w:val="002308E1"/>
    <w:rsid w:val="00230DEB"/>
    <w:rsid w:val="00231435"/>
    <w:rsid w:val="00231552"/>
    <w:rsid w:val="00232063"/>
    <w:rsid w:val="00234202"/>
    <w:rsid w:val="00234F63"/>
    <w:rsid w:val="00234FD4"/>
    <w:rsid w:val="00235268"/>
    <w:rsid w:val="00241A39"/>
    <w:rsid w:val="00242E81"/>
    <w:rsid w:val="00245F39"/>
    <w:rsid w:val="00246AFC"/>
    <w:rsid w:val="00246FC7"/>
    <w:rsid w:val="00247C0E"/>
    <w:rsid w:val="0025333E"/>
    <w:rsid w:val="00257EE2"/>
    <w:rsid w:val="002601C0"/>
    <w:rsid w:val="0026056D"/>
    <w:rsid w:val="00261156"/>
    <w:rsid w:val="0026388B"/>
    <w:rsid w:val="00264820"/>
    <w:rsid w:val="002652CB"/>
    <w:rsid w:val="0026632C"/>
    <w:rsid w:val="002676AD"/>
    <w:rsid w:val="00267AA1"/>
    <w:rsid w:val="00270064"/>
    <w:rsid w:val="002708F6"/>
    <w:rsid w:val="002716B3"/>
    <w:rsid w:val="00276E81"/>
    <w:rsid w:val="002772C5"/>
    <w:rsid w:val="00277A00"/>
    <w:rsid w:val="00284A96"/>
    <w:rsid w:val="00285480"/>
    <w:rsid w:val="002859CD"/>
    <w:rsid w:val="002915B5"/>
    <w:rsid w:val="00293072"/>
    <w:rsid w:val="002933CF"/>
    <w:rsid w:val="002944D6"/>
    <w:rsid w:val="002A19D7"/>
    <w:rsid w:val="002A23AB"/>
    <w:rsid w:val="002A3FB2"/>
    <w:rsid w:val="002A5633"/>
    <w:rsid w:val="002A6A38"/>
    <w:rsid w:val="002B0318"/>
    <w:rsid w:val="002B1091"/>
    <w:rsid w:val="002B1BF1"/>
    <w:rsid w:val="002B1CBE"/>
    <w:rsid w:val="002B2995"/>
    <w:rsid w:val="002B5B3F"/>
    <w:rsid w:val="002C01D2"/>
    <w:rsid w:val="002C0657"/>
    <w:rsid w:val="002C10B5"/>
    <w:rsid w:val="002C181A"/>
    <w:rsid w:val="002C1F93"/>
    <w:rsid w:val="002C3993"/>
    <w:rsid w:val="002C3DAC"/>
    <w:rsid w:val="002C4A0D"/>
    <w:rsid w:val="002C5475"/>
    <w:rsid w:val="002C6733"/>
    <w:rsid w:val="002C7C04"/>
    <w:rsid w:val="002D07A4"/>
    <w:rsid w:val="002D2227"/>
    <w:rsid w:val="002D6484"/>
    <w:rsid w:val="002D6882"/>
    <w:rsid w:val="002D6BD9"/>
    <w:rsid w:val="002E0D8F"/>
    <w:rsid w:val="002E1582"/>
    <w:rsid w:val="002E3431"/>
    <w:rsid w:val="002E547B"/>
    <w:rsid w:val="002E6D89"/>
    <w:rsid w:val="002E6FD2"/>
    <w:rsid w:val="002F2D27"/>
    <w:rsid w:val="002F32BA"/>
    <w:rsid w:val="002F3910"/>
    <w:rsid w:val="002F4476"/>
    <w:rsid w:val="002F54F8"/>
    <w:rsid w:val="002F614D"/>
    <w:rsid w:val="002F772F"/>
    <w:rsid w:val="002F78EC"/>
    <w:rsid w:val="00301520"/>
    <w:rsid w:val="00303C0D"/>
    <w:rsid w:val="00310287"/>
    <w:rsid w:val="00310C92"/>
    <w:rsid w:val="00310E2B"/>
    <w:rsid w:val="00312FBE"/>
    <w:rsid w:val="00313C7F"/>
    <w:rsid w:val="003143D5"/>
    <w:rsid w:val="00314F67"/>
    <w:rsid w:val="003163ED"/>
    <w:rsid w:val="00316584"/>
    <w:rsid w:val="00317FF4"/>
    <w:rsid w:val="00320337"/>
    <w:rsid w:val="0032038C"/>
    <w:rsid w:val="00320BC0"/>
    <w:rsid w:val="00320F3D"/>
    <w:rsid w:val="003216E2"/>
    <w:rsid w:val="00321BBB"/>
    <w:rsid w:val="00321DB4"/>
    <w:rsid w:val="0032242C"/>
    <w:rsid w:val="00322CA9"/>
    <w:rsid w:val="003231DB"/>
    <w:rsid w:val="0032343E"/>
    <w:rsid w:val="0032370D"/>
    <w:rsid w:val="0032587F"/>
    <w:rsid w:val="003260ED"/>
    <w:rsid w:val="003324D5"/>
    <w:rsid w:val="003339FA"/>
    <w:rsid w:val="003341B1"/>
    <w:rsid w:val="003367FF"/>
    <w:rsid w:val="00336E35"/>
    <w:rsid w:val="003377D4"/>
    <w:rsid w:val="00340028"/>
    <w:rsid w:val="00340668"/>
    <w:rsid w:val="003414D1"/>
    <w:rsid w:val="00341980"/>
    <w:rsid w:val="00342BE2"/>
    <w:rsid w:val="003436E4"/>
    <w:rsid w:val="0034520F"/>
    <w:rsid w:val="003468C7"/>
    <w:rsid w:val="00350FED"/>
    <w:rsid w:val="00353C31"/>
    <w:rsid w:val="003566E5"/>
    <w:rsid w:val="00361E1A"/>
    <w:rsid w:val="003636EB"/>
    <w:rsid w:val="0036543C"/>
    <w:rsid w:val="003667BF"/>
    <w:rsid w:val="00367071"/>
    <w:rsid w:val="00372A37"/>
    <w:rsid w:val="00372E4D"/>
    <w:rsid w:val="00374660"/>
    <w:rsid w:val="003747E1"/>
    <w:rsid w:val="003747F2"/>
    <w:rsid w:val="00374BE5"/>
    <w:rsid w:val="00375A26"/>
    <w:rsid w:val="0037687F"/>
    <w:rsid w:val="00376F17"/>
    <w:rsid w:val="00380E9D"/>
    <w:rsid w:val="00381081"/>
    <w:rsid w:val="00383CBA"/>
    <w:rsid w:val="00387533"/>
    <w:rsid w:val="00390439"/>
    <w:rsid w:val="00391B21"/>
    <w:rsid w:val="00394751"/>
    <w:rsid w:val="00396E57"/>
    <w:rsid w:val="0039729A"/>
    <w:rsid w:val="00397829"/>
    <w:rsid w:val="003A01E9"/>
    <w:rsid w:val="003A1A7B"/>
    <w:rsid w:val="003A1AD3"/>
    <w:rsid w:val="003A469C"/>
    <w:rsid w:val="003A496D"/>
    <w:rsid w:val="003A4A03"/>
    <w:rsid w:val="003A5778"/>
    <w:rsid w:val="003A7639"/>
    <w:rsid w:val="003A76C4"/>
    <w:rsid w:val="003A788E"/>
    <w:rsid w:val="003B1F31"/>
    <w:rsid w:val="003B3A20"/>
    <w:rsid w:val="003B5ACE"/>
    <w:rsid w:val="003B67E1"/>
    <w:rsid w:val="003B68A3"/>
    <w:rsid w:val="003C00C3"/>
    <w:rsid w:val="003C12DE"/>
    <w:rsid w:val="003C29B1"/>
    <w:rsid w:val="003C3C2B"/>
    <w:rsid w:val="003C5ACD"/>
    <w:rsid w:val="003C6573"/>
    <w:rsid w:val="003C7CCC"/>
    <w:rsid w:val="003D03A1"/>
    <w:rsid w:val="003D117E"/>
    <w:rsid w:val="003D2E24"/>
    <w:rsid w:val="003D50AF"/>
    <w:rsid w:val="003D55A7"/>
    <w:rsid w:val="003D7A1F"/>
    <w:rsid w:val="003E1BD7"/>
    <w:rsid w:val="003E2230"/>
    <w:rsid w:val="003F0248"/>
    <w:rsid w:val="003F40AE"/>
    <w:rsid w:val="003F592E"/>
    <w:rsid w:val="004009AE"/>
    <w:rsid w:val="0040187D"/>
    <w:rsid w:val="004018D7"/>
    <w:rsid w:val="00401EE7"/>
    <w:rsid w:val="00402FBF"/>
    <w:rsid w:val="0040316B"/>
    <w:rsid w:val="004046F3"/>
    <w:rsid w:val="00405BB3"/>
    <w:rsid w:val="0041479E"/>
    <w:rsid w:val="00415E3F"/>
    <w:rsid w:val="00416690"/>
    <w:rsid w:val="004211A5"/>
    <w:rsid w:val="00421445"/>
    <w:rsid w:val="004218F3"/>
    <w:rsid w:val="004261E5"/>
    <w:rsid w:val="00426E64"/>
    <w:rsid w:val="00427205"/>
    <w:rsid w:val="00427BA8"/>
    <w:rsid w:val="00427E5B"/>
    <w:rsid w:val="0043125E"/>
    <w:rsid w:val="00431367"/>
    <w:rsid w:val="0043198F"/>
    <w:rsid w:val="00433941"/>
    <w:rsid w:val="00436D47"/>
    <w:rsid w:val="00437D14"/>
    <w:rsid w:val="00437E76"/>
    <w:rsid w:val="00441F61"/>
    <w:rsid w:val="00442D50"/>
    <w:rsid w:val="00442FD8"/>
    <w:rsid w:val="00443D32"/>
    <w:rsid w:val="0044445C"/>
    <w:rsid w:val="00444ED1"/>
    <w:rsid w:val="00446D21"/>
    <w:rsid w:val="00447DE8"/>
    <w:rsid w:val="00451AD5"/>
    <w:rsid w:val="00461518"/>
    <w:rsid w:val="004619A5"/>
    <w:rsid w:val="00462A0B"/>
    <w:rsid w:val="00462C72"/>
    <w:rsid w:val="004635A4"/>
    <w:rsid w:val="00464930"/>
    <w:rsid w:val="00466A0D"/>
    <w:rsid w:val="00466F2A"/>
    <w:rsid w:val="004711CB"/>
    <w:rsid w:val="004715F2"/>
    <w:rsid w:val="00471653"/>
    <w:rsid w:val="00471779"/>
    <w:rsid w:val="004722F4"/>
    <w:rsid w:val="00472ACE"/>
    <w:rsid w:val="0047412B"/>
    <w:rsid w:val="00474EB6"/>
    <w:rsid w:val="0047512F"/>
    <w:rsid w:val="0047518C"/>
    <w:rsid w:val="00476F20"/>
    <w:rsid w:val="004774EF"/>
    <w:rsid w:val="00477CF6"/>
    <w:rsid w:val="00484BE3"/>
    <w:rsid w:val="00490932"/>
    <w:rsid w:val="00491DCC"/>
    <w:rsid w:val="00492070"/>
    <w:rsid w:val="00492EF8"/>
    <w:rsid w:val="00495945"/>
    <w:rsid w:val="00495D16"/>
    <w:rsid w:val="00497119"/>
    <w:rsid w:val="0049756E"/>
    <w:rsid w:val="00497F0F"/>
    <w:rsid w:val="004A1E34"/>
    <w:rsid w:val="004A2C25"/>
    <w:rsid w:val="004A4D4B"/>
    <w:rsid w:val="004A57C7"/>
    <w:rsid w:val="004A7657"/>
    <w:rsid w:val="004A7B62"/>
    <w:rsid w:val="004B1C50"/>
    <w:rsid w:val="004B3392"/>
    <w:rsid w:val="004B36A9"/>
    <w:rsid w:val="004B4C37"/>
    <w:rsid w:val="004B665F"/>
    <w:rsid w:val="004B6C64"/>
    <w:rsid w:val="004C189E"/>
    <w:rsid w:val="004C26B2"/>
    <w:rsid w:val="004C79D8"/>
    <w:rsid w:val="004D070F"/>
    <w:rsid w:val="004D0B9C"/>
    <w:rsid w:val="004D3413"/>
    <w:rsid w:val="004D5A6B"/>
    <w:rsid w:val="004D769B"/>
    <w:rsid w:val="004E0276"/>
    <w:rsid w:val="004E16BA"/>
    <w:rsid w:val="004E2944"/>
    <w:rsid w:val="004E37BB"/>
    <w:rsid w:val="004E70FA"/>
    <w:rsid w:val="004E7708"/>
    <w:rsid w:val="004E7998"/>
    <w:rsid w:val="004F0100"/>
    <w:rsid w:val="004F06C9"/>
    <w:rsid w:val="004F0A75"/>
    <w:rsid w:val="004F3292"/>
    <w:rsid w:val="004F3F90"/>
    <w:rsid w:val="004F5ADA"/>
    <w:rsid w:val="004F5F7E"/>
    <w:rsid w:val="004F69B9"/>
    <w:rsid w:val="004F6CAB"/>
    <w:rsid w:val="0050113D"/>
    <w:rsid w:val="00502962"/>
    <w:rsid w:val="00503A07"/>
    <w:rsid w:val="00504598"/>
    <w:rsid w:val="00506ED7"/>
    <w:rsid w:val="0050722E"/>
    <w:rsid w:val="00510785"/>
    <w:rsid w:val="005119C0"/>
    <w:rsid w:val="0051220C"/>
    <w:rsid w:val="00513EE9"/>
    <w:rsid w:val="00515A4B"/>
    <w:rsid w:val="00515FBB"/>
    <w:rsid w:val="005201BB"/>
    <w:rsid w:val="00520801"/>
    <w:rsid w:val="005271B8"/>
    <w:rsid w:val="0053266F"/>
    <w:rsid w:val="00533C40"/>
    <w:rsid w:val="0053494A"/>
    <w:rsid w:val="00535655"/>
    <w:rsid w:val="00537188"/>
    <w:rsid w:val="00542043"/>
    <w:rsid w:val="005425DD"/>
    <w:rsid w:val="005452C6"/>
    <w:rsid w:val="00547875"/>
    <w:rsid w:val="0055344D"/>
    <w:rsid w:val="005557F1"/>
    <w:rsid w:val="00560238"/>
    <w:rsid w:val="00561C1C"/>
    <w:rsid w:val="00561DE8"/>
    <w:rsid w:val="00562148"/>
    <w:rsid w:val="00562BEE"/>
    <w:rsid w:val="005631B1"/>
    <w:rsid w:val="00564A8F"/>
    <w:rsid w:val="00564D62"/>
    <w:rsid w:val="0056693A"/>
    <w:rsid w:val="005710CC"/>
    <w:rsid w:val="005739E7"/>
    <w:rsid w:val="005755A4"/>
    <w:rsid w:val="00582C73"/>
    <w:rsid w:val="005853AD"/>
    <w:rsid w:val="00586466"/>
    <w:rsid w:val="005867B0"/>
    <w:rsid w:val="0059042D"/>
    <w:rsid w:val="0059198F"/>
    <w:rsid w:val="00592319"/>
    <w:rsid w:val="00592DBD"/>
    <w:rsid w:val="00595538"/>
    <w:rsid w:val="00596111"/>
    <w:rsid w:val="005A2955"/>
    <w:rsid w:val="005A4C8B"/>
    <w:rsid w:val="005A602E"/>
    <w:rsid w:val="005A67C7"/>
    <w:rsid w:val="005B3639"/>
    <w:rsid w:val="005B3B2D"/>
    <w:rsid w:val="005B4E91"/>
    <w:rsid w:val="005B61A7"/>
    <w:rsid w:val="005B69E9"/>
    <w:rsid w:val="005B7A89"/>
    <w:rsid w:val="005B7CBE"/>
    <w:rsid w:val="005B7EE0"/>
    <w:rsid w:val="005C17D7"/>
    <w:rsid w:val="005C334A"/>
    <w:rsid w:val="005C3875"/>
    <w:rsid w:val="005C4B6E"/>
    <w:rsid w:val="005C4BD6"/>
    <w:rsid w:val="005C5801"/>
    <w:rsid w:val="005C7343"/>
    <w:rsid w:val="005D1F39"/>
    <w:rsid w:val="005D2242"/>
    <w:rsid w:val="005D22DD"/>
    <w:rsid w:val="005D26C1"/>
    <w:rsid w:val="005D2D85"/>
    <w:rsid w:val="005D318E"/>
    <w:rsid w:val="005D431D"/>
    <w:rsid w:val="005D6829"/>
    <w:rsid w:val="005D6F1A"/>
    <w:rsid w:val="005E0710"/>
    <w:rsid w:val="005E328E"/>
    <w:rsid w:val="005E37A5"/>
    <w:rsid w:val="005E4A6E"/>
    <w:rsid w:val="005F262F"/>
    <w:rsid w:val="005F43AC"/>
    <w:rsid w:val="005F498E"/>
    <w:rsid w:val="005F54DE"/>
    <w:rsid w:val="006021FC"/>
    <w:rsid w:val="00602F17"/>
    <w:rsid w:val="00603392"/>
    <w:rsid w:val="00604FD1"/>
    <w:rsid w:val="006052E5"/>
    <w:rsid w:val="006075DA"/>
    <w:rsid w:val="00612927"/>
    <w:rsid w:val="00612DC0"/>
    <w:rsid w:val="00613403"/>
    <w:rsid w:val="006141D6"/>
    <w:rsid w:val="00614A67"/>
    <w:rsid w:val="0062289F"/>
    <w:rsid w:val="00623130"/>
    <w:rsid w:val="006259AB"/>
    <w:rsid w:val="00627697"/>
    <w:rsid w:val="00627E7C"/>
    <w:rsid w:val="00630A7A"/>
    <w:rsid w:val="00632C3D"/>
    <w:rsid w:val="00633E7C"/>
    <w:rsid w:val="006340FF"/>
    <w:rsid w:val="006378EC"/>
    <w:rsid w:val="006403FC"/>
    <w:rsid w:val="006415CE"/>
    <w:rsid w:val="00641AF7"/>
    <w:rsid w:val="00643174"/>
    <w:rsid w:val="00643F6C"/>
    <w:rsid w:val="0064497B"/>
    <w:rsid w:val="0064568A"/>
    <w:rsid w:val="00651DDC"/>
    <w:rsid w:val="006561BB"/>
    <w:rsid w:val="00661A70"/>
    <w:rsid w:val="00661C65"/>
    <w:rsid w:val="006622D0"/>
    <w:rsid w:val="0066246D"/>
    <w:rsid w:val="00662720"/>
    <w:rsid w:val="00662E76"/>
    <w:rsid w:val="00663770"/>
    <w:rsid w:val="006646ED"/>
    <w:rsid w:val="00664C18"/>
    <w:rsid w:val="00664CB7"/>
    <w:rsid w:val="0066522A"/>
    <w:rsid w:val="00665642"/>
    <w:rsid w:val="00666BC8"/>
    <w:rsid w:val="00667978"/>
    <w:rsid w:val="00672080"/>
    <w:rsid w:val="00672B52"/>
    <w:rsid w:val="00672F62"/>
    <w:rsid w:val="0067457B"/>
    <w:rsid w:val="006750DB"/>
    <w:rsid w:val="00681FB9"/>
    <w:rsid w:val="00682D2E"/>
    <w:rsid w:val="0068401F"/>
    <w:rsid w:val="00685EA0"/>
    <w:rsid w:val="00686720"/>
    <w:rsid w:val="00687223"/>
    <w:rsid w:val="00687FD7"/>
    <w:rsid w:val="006900C8"/>
    <w:rsid w:val="006911BB"/>
    <w:rsid w:val="00691E87"/>
    <w:rsid w:val="00695669"/>
    <w:rsid w:val="00696C7B"/>
    <w:rsid w:val="00696CC0"/>
    <w:rsid w:val="00696DAE"/>
    <w:rsid w:val="006973DF"/>
    <w:rsid w:val="00697954"/>
    <w:rsid w:val="006A0AB4"/>
    <w:rsid w:val="006A1D8D"/>
    <w:rsid w:val="006A2176"/>
    <w:rsid w:val="006A309D"/>
    <w:rsid w:val="006A344D"/>
    <w:rsid w:val="006A51D0"/>
    <w:rsid w:val="006A5842"/>
    <w:rsid w:val="006A73AE"/>
    <w:rsid w:val="006A79C4"/>
    <w:rsid w:val="006A7D9F"/>
    <w:rsid w:val="006A7EDF"/>
    <w:rsid w:val="006B14E4"/>
    <w:rsid w:val="006B2C6E"/>
    <w:rsid w:val="006B2F17"/>
    <w:rsid w:val="006B4263"/>
    <w:rsid w:val="006B4D77"/>
    <w:rsid w:val="006B6FC3"/>
    <w:rsid w:val="006C0A51"/>
    <w:rsid w:val="006C0D9C"/>
    <w:rsid w:val="006C1590"/>
    <w:rsid w:val="006C270D"/>
    <w:rsid w:val="006C27AD"/>
    <w:rsid w:val="006C4495"/>
    <w:rsid w:val="006C4A56"/>
    <w:rsid w:val="006C5F5E"/>
    <w:rsid w:val="006C64FD"/>
    <w:rsid w:val="006D1987"/>
    <w:rsid w:val="006D27DE"/>
    <w:rsid w:val="006D3C96"/>
    <w:rsid w:val="006D3E01"/>
    <w:rsid w:val="006D44FB"/>
    <w:rsid w:val="006D4FCD"/>
    <w:rsid w:val="006D6E74"/>
    <w:rsid w:val="006E05AE"/>
    <w:rsid w:val="006E0F38"/>
    <w:rsid w:val="006E3C3D"/>
    <w:rsid w:val="006E5E65"/>
    <w:rsid w:val="006F0A14"/>
    <w:rsid w:val="006F1DAF"/>
    <w:rsid w:val="006F304C"/>
    <w:rsid w:val="006F3983"/>
    <w:rsid w:val="006F4E61"/>
    <w:rsid w:val="006F7F26"/>
    <w:rsid w:val="007006D4"/>
    <w:rsid w:val="00702945"/>
    <w:rsid w:val="00703306"/>
    <w:rsid w:val="00703C65"/>
    <w:rsid w:val="00705468"/>
    <w:rsid w:val="00707356"/>
    <w:rsid w:val="007101D4"/>
    <w:rsid w:val="00713186"/>
    <w:rsid w:val="00715DA6"/>
    <w:rsid w:val="00717DBB"/>
    <w:rsid w:val="00717F2F"/>
    <w:rsid w:val="007201C0"/>
    <w:rsid w:val="007218AE"/>
    <w:rsid w:val="0072350C"/>
    <w:rsid w:val="007267E6"/>
    <w:rsid w:val="007307AB"/>
    <w:rsid w:val="00730A19"/>
    <w:rsid w:val="00731259"/>
    <w:rsid w:val="00731333"/>
    <w:rsid w:val="007318D8"/>
    <w:rsid w:val="00731C78"/>
    <w:rsid w:val="00732515"/>
    <w:rsid w:val="00732F21"/>
    <w:rsid w:val="00733046"/>
    <w:rsid w:val="0073341E"/>
    <w:rsid w:val="007343F3"/>
    <w:rsid w:val="007349CA"/>
    <w:rsid w:val="007359F5"/>
    <w:rsid w:val="007365C7"/>
    <w:rsid w:val="00737C16"/>
    <w:rsid w:val="00740963"/>
    <w:rsid w:val="00742477"/>
    <w:rsid w:val="00743CE0"/>
    <w:rsid w:val="0074514D"/>
    <w:rsid w:val="00746CC0"/>
    <w:rsid w:val="00746CCC"/>
    <w:rsid w:val="00747525"/>
    <w:rsid w:val="00752701"/>
    <w:rsid w:val="00754ABC"/>
    <w:rsid w:val="00754B10"/>
    <w:rsid w:val="007552DD"/>
    <w:rsid w:val="00755AB3"/>
    <w:rsid w:val="00757314"/>
    <w:rsid w:val="00757886"/>
    <w:rsid w:val="00757C72"/>
    <w:rsid w:val="00761749"/>
    <w:rsid w:val="00761E99"/>
    <w:rsid w:val="007646A2"/>
    <w:rsid w:val="007658D2"/>
    <w:rsid w:val="00767865"/>
    <w:rsid w:val="00771976"/>
    <w:rsid w:val="00773070"/>
    <w:rsid w:val="00774C33"/>
    <w:rsid w:val="00776BDB"/>
    <w:rsid w:val="00776E4B"/>
    <w:rsid w:val="00780224"/>
    <w:rsid w:val="007809BD"/>
    <w:rsid w:val="007824BE"/>
    <w:rsid w:val="00782FB7"/>
    <w:rsid w:val="00785DB7"/>
    <w:rsid w:val="00786095"/>
    <w:rsid w:val="00786CBD"/>
    <w:rsid w:val="00793D60"/>
    <w:rsid w:val="007A0E42"/>
    <w:rsid w:val="007A306E"/>
    <w:rsid w:val="007A684E"/>
    <w:rsid w:val="007A7937"/>
    <w:rsid w:val="007B5DF8"/>
    <w:rsid w:val="007C06E1"/>
    <w:rsid w:val="007C1479"/>
    <w:rsid w:val="007C1B81"/>
    <w:rsid w:val="007C1BCC"/>
    <w:rsid w:val="007C3ABA"/>
    <w:rsid w:val="007C4FB0"/>
    <w:rsid w:val="007C5315"/>
    <w:rsid w:val="007C5342"/>
    <w:rsid w:val="007C7248"/>
    <w:rsid w:val="007C7A74"/>
    <w:rsid w:val="007D014B"/>
    <w:rsid w:val="007D274A"/>
    <w:rsid w:val="007D3E0C"/>
    <w:rsid w:val="007D6EC7"/>
    <w:rsid w:val="007D6FB2"/>
    <w:rsid w:val="007D7D0A"/>
    <w:rsid w:val="007E1A1F"/>
    <w:rsid w:val="007E34E2"/>
    <w:rsid w:val="007E5934"/>
    <w:rsid w:val="007E5FC9"/>
    <w:rsid w:val="007E626A"/>
    <w:rsid w:val="007E6A28"/>
    <w:rsid w:val="007E6AC4"/>
    <w:rsid w:val="007F0D1D"/>
    <w:rsid w:val="007F1229"/>
    <w:rsid w:val="007F2A5D"/>
    <w:rsid w:val="00800ECB"/>
    <w:rsid w:val="00804192"/>
    <w:rsid w:val="00804744"/>
    <w:rsid w:val="0080531A"/>
    <w:rsid w:val="008054E5"/>
    <w:rsid w:val="00806134"/>
    <w:rsid w:val="0081342B"/>
    <w:rsid w:val="00813E84"/>
    <w:rsid w:val="0081422E"/>
    <w:rsid w:val="00815422"/>
    <w:rsid w:val="00815A45"/>
    <w:rsid w:val="00817F98"/>
    <w:rsid w:val="00820396"/>
    <w:rsid w:val="00821B13"/>
    <w:rsid w:val="0082223A"/>
    <w:rsid w:val="00822F99"/>
    <w:rsid w:val="0082567B"/>
    <w:rsid w:val="008259CB"/>
    <w:rsid w:val="00827553"/>
    <w:rsid w:val="00831457"/>
    <w:rsid w:val="00832104"/>
    <w:rsid w:val="00833441"/>
    <w:rsid w:val="00834D80"/>
    <w:rsid w:val="00834F87"/>
    <w:rsid w:val="0083600F"/>
    <w:rsid w:val="00836D03"/>
    <w:rsid w:val="00837534"/>
    <w:rsid w:val="00837E26"/>
    <w:rsid w:val="00841E88"/>
    <w:rsid w:val="008421BA"/>
    <w:rsid w:val="00843040"/>
    <w:rsid w:val="00844A4D"/>
    <w:rsid w:val="00846DCF"/>
    <w:rsid w:val="008470DD"/>
    <w:rsid w:val="00847D81"/>
    <w:rsid w:val="00852C23"/>
    <w:rsid w:val="008540C3"/>
    <w:rsid w:val="00855F83"/>
    <w:rsid w:val="00860BFE"/>
    <w:rsid w:val="00862268"/>
    <w:rsid w:val="00862359"/>
    <w:rsid w:val="00862405"/>
    <w:rsid w:val="008662E9"/>
    <w:rsid w:val="00870642"/>
    <w:rsid w:val="00872E17"/>
    <w:rsid w:val="0087384B"/>
    <w:rsid w:val="00873A9E"/>
    <w:rsid w:val="00874E18"/>
    <w:rsid w:val="008810A5"/>
    <w:rsid w:val="00882013"/>
    <w:rsid w:val="00883508"/>
    <w:rsid w:val="0088472A"/>
    <w:rsid w:val="008907C8"/>
    <w:rsid w:val="00891D45"/>
    <w:rsid w:val="008922C4"/>
    <w:rsid w:val="00892546"/>
    <w:rsid w:val="00894B1F"/>
    <w:rsid w:val="008A1BE4"/>
    <w:rsid w:val="008A27E7"/>
    <w:rsid w:val="008A3FAB"/>
    <w:rsid w:val="008B0AD4"/>
    <w:rsid w:val="008B17C9"/>
    <w:rsid w:val="008B2C0C"/>
    <w:rsid w:val="008B2CB4"/>
    <w:rsid w:val="008B3170"/>
    <w:rsid w:val="008B4C33"/>
    <w:rsid w:val="008B5290"/>
    <w:rsid w:val="008B6812"/>
    <w:rsid w:val="008B69B5"/>
    <w:rsid w:val="008C0B39"/>
    <w:rsid w:val="008C302F"/>
    <w:rsid w:val="008C3263"/>
    <w:rsid w:val="008C4EF5"/>
    <w:rsid w:val="008C56A9"/>
    <w:rsid w:val="008C6357"/>
    <w:rsid w:val="008C798A"/>
    <w:rsid w:val="008D4FD4"/>
    <w:rsid w:val="008D50F3"/>
    <w:rsid w:val="008E0139"/>
    <w:rsid w:val="008E1C7E"/>
    <w:rsid w:val="008E36A9"/>
    <w:rsid w:val="008E4DA4"/>
    <w:rsid w:val="008E795F"/>
    <w:rsid w:val="008F1888"/>
    <w:rsid w:val="008F1B0B"/>
    <w:rsid w:val="008F2FAB"/>
    <w:rsid w:val="008F38E6"/>
    <w:rsid w:val="008F3FF4"/>
    <w:rsid w:val="008F407F"/>
    <w:rsid w:val="008F4846"/>
    <w:rsid w:val="008F4AD1"/>
    <w:rsid w:val="008F578A"/>
    <w:rsid w:val="009037CF"/>
    <w:rsid w:val="00903E19"/>
    <w:rsid w:val="00904FE0"/>
    <w:rsid w:val="00906997"/>
    <w:rsid w:val="00912A7C"/>
    <w:rsid w:val="009133D2"/>
    <w:rsid w:val="009174F2"/>
    <w:rsid w:val="00917B9B"/>
    <w:rsid w:val="00920D58"/>
    <w:rsid w:val="00921839"/>
    <w:rsid w:val="00921F00"/>
    <w:rsid w:val="00923101"/>
    <w:rsid w:val="00923517"/>
    <w:rsid w:val="00923948"/>
    <w:rsid w:val="00923F53"/>
    <w:rsid w:val="009241C6"/>
    <w:rsid w:val="00925AE7"/>
    <w:rsid w:val="00926544"/>
    <w:rsid w:val="00926CBF"/>
    <w:rsid w:val="0093055A"/>
    <w:rsid w:val="009311B0"/>
    <w:rsid w:val="0093329B"/>
    <w:rsid w:val="00933F76"/>
    <w:rsid w:val="00934443"/>
    <w:rsid w:val="009344DA"/>
    <w:rsid w:val="009351D4"/>
    <w:rsid w:val="009352C1"/>
    <w:rsid w:val="00935AC3"/>
    <w:rsid w:val="00937A33"/>
    <w:rsid w:val="00937BB7"/>
    <w:rsid w:val="00937F25"/>
    <w:rsid w:val="00940A1F"/>
    <w:rsid w:val="00942976"/>
    <w:rsid w:val="00942F36"/>
    <w:rsid w:val="00943425"/>
    <w:rsid w:val="00944DCB"/>
    <w:rsid w:val="009463F2"/>
    <w:rsid w:val="009464B7"/>
    <w:rsid w:val="0094749B"/>
    <w:rsid w:val="00947985"/>
    <w:rsid w:val="00950049"/>
    <w:rsid w:val="00951388"/>
    <w:rsid w:val="009518D7"/>
    <w:rsid w:val="00952CEB"/>
    <w:rsid w:val="00952D6F"/>
    <w:rsid w:val="00954B73"/>
    <w:rsid w:val="00955A51"/>
    <w:rsid w:val="009603B3"/>
    <w:rsid w:val="009612B2"/>
    <w:rsid w:val="00964E0B"/>
    <w:rsid w:val="00966705"/>
    <w:rsid w:val="00967263"/>
    <w:rsid w:val="009672AE"/>
    <w:rsid w:val="00967F8E"/>
    <w:rsid w:val="009708C2"/>
    <w:rsid w:val="00970E96"/>
    <w:rsid w:val="009777C4"/>
    <w:rsid w:val="0098095A"/>
    <w:rsid w:val="00982B3E"/>
    <w:rsid w:val="00984147"/>
    <w:rsid w:val="00986B9E"/>
    <w:rsid w:val="0098730D"/>
    <w:rsid w:val="00987D3E"/>
    <w:rsid w:val="00990F40"/>
    <w:rsid w:val="00993BF9"/>
    <w:rsid w:val="009941BB"/>
    <w:rsid w:val="00994ADB"/>
    <w:rsid w:val="00994F75"/>
    <w:rsid w:val="009A13EF"/>
    <w:rsid w:val="009A1ED1"/>
    <w:rsid w:val="009A2FFF"/>
    <w:rsid w:val="009A4376"/>
    <w:rsid w:val="009A448F"/>
    <w:rsid w:val="009A4E0B"/>
    <w:rsid w:val="009A5022"/>
    <w:rsid w:val="009A59F1"/>
    <w:rsid w:val="009A76E2"/>
    <w:rsid w:val="009A7902"/>
    <w:rsid w:val="009B0AB2"/>
    <w:rsid w:val="009B3AC1"/>
    <w:rsid w:val="009B3B5E"/>
    <w:rsid w:val="009B4B3F"/>
    <w:rsid w:val="009B5C34"/>
    <w:rsid w:val="009C230D"/>
    <w:rsid w:val="009C36E6"/>
    <w:rsid w:val="009C471E"/>
    <w:rsid w:val="009C740D"/>
    <w:rsid w:val="009C7510"/>
    <w:rsid w:val="009D089D"/>
    <w:rsid w:val="009D0A93"/>
    <w:rsid w:val="009D16CA"/>
    <w:rsid w:val="009D1702"/>
    <w:rsid w:val="009D1A06"/>
    <w:rsid w:val="009D2250"/>
    <w:rsid w:val="009D2950"/>
    <w:rsid w:val="009D3B98"/>
    <w:rsid w:val="009D43AC"/>
    <w:rsid w:val="009D687C"/>
    <w:rsid w:val="009D7101"/>
    <w:rsid w:val="009D7A52"/>
    <w:rsid w:val="009E0778"/>
    <w:rsid w:val="009E07AB"/>
    <w:rsid w:val="009E1E2F"/>
    <w:rsid w:val="009E334B"/>
    <w:rsid w:val="009E4321"/>
    <w:rsid w:val="009E72FD"/>
    <w:rsid w:val="009E752D"/>
    <w:rsid w:val="009E7D7D"/>
    <w:rsid w:val="009F0AE1"/>
    <w:rsid w:val="009F20CA"/>
    <w:rsid w:val="009F21FC"/>
    <w:rsid w:val="009F23B0"/>
    <w:rsid w:val="009F477E"/>
    <w:rsid w:val="009F4C2F"/>
    <w:rsid w:val="009F5727"/>
    <w:rsid w:val="009F619B"/>
    <w:rsid w:val="009F7106"/>
    <w:rsid w:val="009F73D6"/>
    <w:rsid w:val="00A00BA8"/>
    <w:rsid w:val="00A019CD"/>
    <w:rsid w:val="00A0341E"/>
    <w:rsid w:val="00A038D9"/>
    <w:rsid w:val="00A03979"/>
    <w:rsid w:val="00A05F5B"/>
    <w:rsid w:val="00A060A3"/>
    <w:rsid w:val="00A07A6B"/>
    <w:rsid w:val="00A11904"/>
    <w:rsid w:val="00A123EB"/>
    <w:rsid w:val="00A15C4F"/>
    <w:rsid w:val="00A1655C"/>
    <w:rsid w:val="00A20B35"/>
    <w:rsid w:val="00A21396"/>
    <w:rsid w:val="00A230CC"/>
    <w:rsid w:val="00A26748"/>
    <w:rsid w:val="00A278AE"/>
    <w:rsid w:val="00A32C6C"/>
    <w:rsid w:val="00A33E4C"/>
    <w:rsid w:val="00A34750"/>
    <w:rsid w:val="00A354F3"/>
    <w:rsid w:val="00A366AC"/>
    <w:rsid w:val="00A416BA"/>
    <w:rsid w:val="00A41BC5"/>
    <w:rsid w:val="00A41EBE"/>
    <w:rsid w:val="00A454EE"/>
    <w:rsid w:val="00A4663E"/>
    <w:rsid w:val="00A506D1"/>
    <w:rsid w:val="00A510B3"/>
    <w:rsid w:val="00A51C9F"/>
    <w:rsid w:val="00A52F84"/>
    <w:rsid w:val="00A55C82"/>
    <w:rsid w:val="00A56F7E"/>
    <w:rsid w:val="00A6003E"/>
    <w:rsid w:val="00A60DE3"/>
    <w:rsid w:val="00A6312A"/>
    <w:rsid w:val="00A63AD3"/>
    <w:rsid w:val="00A63B36"/>
    <w:rsid w:val="00A640C7"/>
    <w:rsid w:val="00A6441F"/>
    <w:rsid w:val="00A6482B"/>
    <w:rsid w:val="00A64974"/>
    <w:rsid w:val="00A66043"/>
    <w:rsid w:val="00A66664"/>
    <w:rsid w:val="00A671D4"/>
    <w:rsid w:val="00A67524"/>
    <w:rsid w:val="00A70C23"/>
    <w:rsid w:val="00A71F4E"/>
    <w:rsid w:val="00A7280C"/>
    <w:rsid w:val="00A742AD"/>
    <w:rsid w:val="00A742F9"/>
    <w:rsid w:val="00A74A0A"/>
    <w:rsid w:val="00A7513A"/>
    <w:rsid w:val="00A763BA"/>
    <w:rsid w:val="00A76A8E"/>
    <w:rsid w:val="00A801A0"/>
    <w:rsid w:val="00A83E3A"/>
    <w:rsid w:val="00A85621"/>
    <w:rsid w:val="00A90C61"/>
    <w:rsid w:val="00A91BCF"/>
    <w:rsid w:val="00A9349B"/>
    <w:rsid w:val="00A97052"/>
    <w:rsid w:val="00AA1AC3"/>
    <w:rsid w:val="00AA1BC1"/>
    <w:rsid w:val="00AA23A1"/>
    <w:rsid w:val="00AA2731"/>
    <w:rsid w:val="00AA4494"/>
    <w:rsid w:val="00AA538D"/>
    <w:rsid w:val="00AA5A6A"/>
    <w:rsid w:val="00AA641D"/>
    <w:rsid w:val="00AB54F2"/>
    <w:rsid w:val="00AB6F1D"/>
    <w:rsid w:val="00AB7F45"/>
    <w:rsid w:val="00AC09BF"/>
    <w:rsid w:val="00AC1BC5"/>
    <w:rsid w:val="00AC2425"/>
    <w:rsid w:val="00AC3B46"/>
    <w:rsid w:val="00AC3C37"/>
    <w:rsid w:val="00AC4D2A"/>
    <w:rsid w:val="00AC65A1"/>
    <w:rsid w:val="00AD1DE6"/>
    <w:rsid w:val="00AD25D9"/>
    <w:rsid w:val="00AD3BD6"/>
    <w:rsid w:val="00AD5BD6"/>
    <w:rsid w:val="00AD7302"/>
    <w:rsid w:val="00AE0883"/>
    <w:rsid w:val="00AE0F34"/>
    <w:rsid w:val="00AE3EED"/>
    <w:rsid w:val="00AE59EB"/>
    <w:rsid w:val="00AE6EB0"/>
    <w:rsid w:val="00AF273F"/>
    <w:rsid w:val="00AF3B66"/>
    <w:rsid w:val="00AF61CE"/>
    <w:rsid w:val="00AF62C1"/>
    <w:rsid w:val="00AF79D8"/>
    <w:rsid w:val="00B0111F"/>
    <w:rsid w:val="00B01C81"/>
    <w:rsid w:val="00B02ACA"/>
    <w:rsid w:val="00B03217"/>
    <w:rsid w:val="00B0470D"/>
    <w:rsid w:val="00B04E60"/>
    <w:rsid w:val="00B0692E"/>
    <w:rsid w:val="00B06D00"/>
    <w:rsid w:val="00B07654"/>
    <w:rsid w:val="00B11254"/>
    <w:rsid w:val="00B124EC"/>
    <w:rsid w:val="00B16120"/>
    <w:rsid w:val="00B16430"/>
    <w:rsid w:val="00B166D8"/>
    <w:rsid w:val="00B16F77"/>
    <w:rsid w:val="00B17AC3"/>
    <w:rsid w:val="00B17B84"/>
    <w:rsid w:val="00B20943"/>
    <w:rsid w:val="00B21487"/>
    <w:rsid w:val="00B22851"/>
    <w:rsid w:val="00B23AF7"/>
    <w:rsid w:val="00B25682"/>
    <w:rsid w:val="00B2627E"/>
    <w:rsid w:val="00B26E18"/>
    <w:rsid w:val="00B320FA"/>
    <w:rsid w:val="00B329C1"/>
    <w:rsid w:val="00B33C0E"/>
    <w:rsid w:val="00B3548A"/>
    <w:rsid w:val="00B37FF5"/>
    <w:rsid w:val="00B404CF"/>
    <w:rsid w:val="00B40854"/>
    <w:rsid w:val="00B40EB5"/>
    <w:rsid w:val="00B41C97"/>
    <w:rsid w:val="00B43C49"/>
    <w:rsid w:val="00B44A3C"/>
    <w:rsid w:val="00B515CF"/>
    <w:rsid w:val="00B51D06"/>
    <w:rsid w:val="00B52D5A"/>
    <w:rsid w:val="00B53686"/>
    <w:rsid w:val="00B54073"/>
    <w:rsid w:val="00B54994"/>
    <w:rsid w:val="00B55942"/>
    <w:rsid w:val="00B569ED"/>
    <w:rsid w:val="00B57AA2"/>
    <w:rsid w:val="00B60AEB"/>
    <w:rsid w:val="00B611FF"/>
    <w:rsid w:val="00B6122F"/>
    <w:rsid w:val="00B63504"/>
    <w:rsid w:val="00B64157"/>
    <w:rsid w:val="00B64784"/>
    <w:rsid w:val="00B66DE6"/>
    <w:rsid w:val="00B70445"/>
    <w:rsid w:val="00B707FB"/>
    <w:rsid w:val="00B70AA4"/>
    <w:rsid w:val="00B70D0E"/>
    <w:rsid w:val="00B71CC3"/>
    <w:rsid w:val="00B74753"/>
    <w:rsid w:val="00B76A6E"/>
    <w:rsid w:val="00B8112C"/>
    <w:rsid w:val="00B82E5F"/>
    <w:rsid w:val="00B849B6"/>
    <w:rsid w:val="00B8737F"/>
    <w:rsid w:val="00B928A2"/>
    <w:rsid w:val="00B9497A"/>
    <w:rsid w:val="00BA1052"/>
    <w:rsid w:val="00BA628F"/>
    <w:rsid w:val="00BA632E"/>
    <w:rsid w:val="00BA7218"/>
    <w:rsid w:val="00BB19FF"/>
    <w:rsid w:val="00BB29DA"/>
    <w:rsid w:val="00BB4300"/>
    <w:rsid w:val="00BB46CF"/>
    <w:rsid w:val="00BB482F"/>
    <w:rsid w:val="00BB57CB"/>
    <w:rsid w:val="00BB6E92"/>
    <w:rsid w:val="00BB71EC"/>
    <w:rsid w:val="00BC022B"/>
    <w:rsid w:val="00BC0286"/>
    <w:rsid w:val="00BC1E7F"/>
    <w:rsid w:val="00BC2E1B"/>
    <w:rsid w:val="00BC3893"/>
    <w:rsid w:val="00BC3898"/>
    <w:rsid w:val="00BC3972"/>
    <w:rsid w:val="00BC398D"/>
    <w:rsid w:val="00BC76E0"/>
    <w:rsid w:val="00BC7B51"/>
    <w:rsid w:val="00BD1782"/>
    <w:rsid w:val="00BD2F19"/>
    <w:rsid w:val="00BD52FE"/>
    <w:rsid w:val="00BD7571"/>
    <w:rsid w:val="00BD7805"/>
    <w:rsid w:val="00BE08BA"/>
    <w:rsid w:val="00BE2183"/>
    <w:rsid w:val="00BE5A9A"/>
    <w:rsid w:val="00BF0BAB"/>
    <w:rsid w:val="00BF36EA"/>
    <w:rsid w:val="00BF3CDE"/>
    <w:rsid w:val="00BF66C2"/>
    <w:rsid w:val="00BF71B3"/>
    <w:rsid w:val="00BF7C54"/>
    <w:rsid w:val="00C0024C"/>
    <w:rsid w:val="00C02E5A"/>
    <w:rsid w:val="00C0344C"/>
    <w:rsid w:val="00C036E5"/>
    <w:rsid w:val="00C03F9A"/>
    <w:rsid w:val="00C0596F"/>
    <w:rsid w:val="00C07B7E"/>
    <w:rsid w:val="00C1026C"/>
    <w:rsid w:val="00C12658"/>
    <w:rsid w:val="00C12D1C"/>
    <w:rsid w:val="00C12EE2"/>
    <w:rsid w:val="00C135F3"/>
    <w:rsid w:val="00C13A46"/>
    <w:rsid w:val="00C144ED"/>
    <w:rsid w:val="00C15B92"/>
    <w:rsid w:val="00C2143D"/>
    <w:rsid w:val="00C22358"/>
    <w:rsid w:val="00C22BF9"/>
    <w:rsid w:val="00C24BA7"/>
    <w:rsid w:val="00C26B9E"/>
    <w:rsid w:val="00C3038F"/>
    <w:rsid w:val="00C30838"/>
    <w:rsid w:val="00C30C25"/>
    <w:rsid w:val="00C31A04"/>
    <w:rsid w:val="00C3262E"/>
    <w:rsid w:val="00C338A3"/>
    <w:rsid w:val="00C34738"/>
    <w:rsid w:val="00C34A65"/>
    <w:rsid w:val="00C3533C"/>
    <w:rsid w:val="00C35CE8"/>
    <w:rsid w:val="00C36338"/>
    <w:rsid w:val="00C37E16"/>
    <w:rsid w:val="00C40206"/>
    <w:rsid w:val="00C41125"/>
    <w:rsid w:val="00C41DA7"/>
    <w:rsid w:val="00C473E6"/>
    <w:rsid w:val="00C52979"/>
    <w:rsid w:val="00C5420A"/>
    <w:rsid w:val="00C5702F"/>
    <w:rsid w:val="00C62877"/>
    <w:rsid w:val="00C65936"/>
    <w:rsid w:val="00C65A56"/>
    <w:rsid w:val="00C66778"/>
    <w:rsid w:val="00C67848"/>
    <w:rsid w:val="00C71215"/>
    <w:rsid w:val="00C72C00"/>
    <w:rsid w:val="00C72F83"/>
    <w:rsid w:val="00C73072"/>
    <w:rsid w:val="00C733DD"/>
    <w:rsid w:val="00C73AC6"/>
    <w:rsid w:val="00C73B61"/>
    <w:rsid w:val="00C75247"/>
    <w:rsid w:val="00C75856"/>
    <w:rsid w:val="00C7683B"/>
    <w:rsid w:val="00C76AC1"/>
    <w:rsid w:val="00C81485"/>
    <w:rsid w:val="00C81DB3"/>
    <w:rsid w:val="00C82777"/>
    <w:rsid w:val="00C82AFF"/>
    <w:rsid w:val="00C8425F"/>
    <w:rsid w:val="00C8431C"/>
    <w:rsid w:val="00C853C5"/>
    <w:rsid w:val="00C86213"/>
    <w:rsid w:val="00C8726E"/>
    <w:rsid w:val="00C91180"/>
    <w:rsid w:val="00C917D8"/>
    <w:rsid w:val="00CA11E1"/>
    <w:rsid w:val="00CA1296"/>
    <w:rsid w:val="00CA158B"/>
    <w:rsid w:val="00CA3781"/>
    <w:rsid w:val="00CA3E36"/>
    <w:rsid w:val="00CA7FD4"/>
    <w:rsid w:val="00CB11C7"/>
    <w:rsid w:val="00CB1734"/>
    <w:rsid w:val="00CB1C17"/>
    <w:rsid w:val="00CB288D"/>
    <w:rsid w:val="00CB2DD6"/>
    <w:rsid w:val="00CB6F77"/>
    <w:rsid w:val="00CB73FF"/>
    <w:rsid w:val="00CB78EE"/>
    <w:rsid w:val="00CC04C3"/>
    <w:rsid w:val="00CC1173"/>
    <w:rsid w:val="00CC6E94"/>
    <w:rsid w:val="00CC718C"/>
    <w:rsid w:val="00CD0CD8"/>
    <w:rsid w:val="00CD1630"/>
    <w:rsid w:val="00CD3276"/>
    <w:rsid w:val="00CD4E43"/>
    <w:rsid w:val="00CD5822"/>
    <w:rsid w:val="00CD7AA6"/>
    <w:rsid w:val="00CE0F43"/>
    <w:rsid w:val="00CE11B3"/>
    <w:rsid w:val="00CE1581"/>
    <w:rsid w:val="00CE4454"/>
    <w:rsid w:val="00CE5140"/>
    <w:rsid w:val="00CE6A9F"/>
    <w:rsid w:val="00CF3800"/>
    <w:rsid w:val="00CF3A46"/>
    <w:rsid w:val="00CF4566"/>
    <w:rsid w:val="00CF6C1C"/>
    <w:rsid w:val="00D02E3B"/>
    <w:rsid w:val="00D030DC"/>
    <w:rsid w:val="00D03CD1"/>
    <w:rsid w:val="00D05651"/>
    <w:rsid w:val="00D05BE7"/>
    <w:rsid w:val="00D06FB4"/>
    <w:rsid w:val="00D1051F"/>
    <w:rsid w:val="00D10C37"/>
    <w:rsid w:val="00D113FC"/>
    <w:rsid w:val="00D13527"/>
    <w:rsid w:val="00D14A09"/>
    <w:rsid w:val="00D14B5E"/>
    <w:rsid w:val="00D169DC"/>
    <w:rsid w:val="00D172EB"/>
    <w:rsid w:val="00D17906"/>
    <w:rsid w:val="00D17F59"/>
    <w:rsid w:val="00D2009C"/>
    <w:rsid w:val="00D20C40"/>
    <w:rsid w:val="00D21701"/>
    <w:rsid w:val="00D21F1E"/>
    <w:rsid w:val="00D220DA"/>
    <w:rsid w:val="00D2384B"/>
    <w:rsid w:val="00D238FD"/>
    <w:rsid w:val="00D25679"/>
    <w:rsid w:val="00D276BE"/>
    <w:rsid w:val="00D27B34"/>
    <w:rsid w:val="00D303B6"/>
    <w:rsid w:val="00D308DE"/>
    <w:rsid w:val="00D30E40"/>
    <w:rsid w:val="00D32FE1"/>
    <w:rsid w:val="00D349AD"/>
    <w:rsid w:val="00D3764F"/>
    <w:rsid w:val="00D40585"/>
    <w:rsid w:val="00D45324"/>
    <w:rsid w:val="00D4658E"/>
    <w:rsid w:val="00D47A51"/>
    <w:rsid w:val="00D47B7A"/>
    <w:rsid w:val="00D54EF5"/>
    <w:rsid w:val="00D55B47"/>
    <w:rsid w:val="00D6016F"/>
    <w:rsid w:val="00D604E6"/>
    <w:rsid w:val="00D623BD"/>
    <w:rsid w:val="00D6242C"/>
    <w:rsid w:val="00D65457"/>
    <w:rsid w:val="00D66F36"/>
    <w:rsid w:val="00D67F72"/>
    <w:rsid w:val="00D70440"/>
    <w:rsid w:val="00D72C19"/>
    <w:rsid w:val="00D74731"/>
    <w:rsid w:val="00D74DD2"/>
    <w:rsid w:val="00D765B2"/>
    <w:rsid w:val="00D767A2"/>
    <w:rsid w:val="00D76EB0"/>
    <w:rsid w:val="00D7761E"/>
    <w:rsid w:val="00D77DAB"/>
    <w:rsid w:val="00D77F06"/>
    <w:rsid w:val="00D802D1"/>
    <w:rsid w:val="00D862B2"/>
    <w:rsid w:val="00D86D4D"/>
    <w:rsid w:val="00D87331"/>
    <w:rsid w:val="00D92A26"/>
    <w:rsid w:val="00D94663"/>
    <w:rsid w:val="00D96DBA"/>
    <w:rsid w:val="00DA0A27"/>
    <w:rsid w:val="00DA28BE"/>
    <w:rsid w:val="00DA53F2"/>
    <w:rsid w:val="00DB0230"/>
    <w:rsid w:val="00DB0648"/>
    <w:rsid w:val="00DB1962"/>
    <w:rsid w:val="00DB2CF1"/>
    <w:rsid w:val="00DB2D6A"/>
    <w:rsid w:val="00DB3BE7"/>
    <w:rsid w:val="00DB4155"/>
    <w:rsid w:val="00DB59C7"/>
    <w:rsid w:val="00DB7E2F"/>
    <w:rsid w:val="00DB7EBA"/>
    <w:rsid w:val="00DB7F2E"/>
    <w:rsid w:val="00DC2382"/>
    <w:rsid w:val="00DC329F"/>
    <w:rsid w:val="00DC52A8"/>
    <w:rsid w:val="00DC5864"/>
    <w:rsid w:val="00DC6BE7"/>
    <w:rsid w:val="00DC7991"/>
    <w:rsid w:val="00DD0757"/>
    <w:rsid w:val="00DD1738"/>
    <w:rsid w:val="00DD1865"/>
    <w:rsid w:val="00DD19E0"/>
    <w:rsid w:val="00DD38A7"/>
    <w:rsid w:val="00DD3A65"/>
    <w:rsid w:val="00DD4FE6"/>
    <w:rsid w:val="00DE1DFB"/>
    <w:rsid w:val="00DE202D"/>
    <w:rsid w:val="00DE29C4"/>
    <w:rsid w:val="00DE32AE"/>
    <w:rsid w:val="00DE4F4F"/>
    <w:rsid w:val="00DE6634"/>
    <w:rsid w:val="00DE6639"/>
    <w:rsid w:val="00DE7090"/>
    <w:rsid w:val="00DE7113"/>
    <w:rsid w:val="00DE7A73"/>
    <w:rsid w:val="00DF0274"/>
    <w:rsid w:val="00DF1E11"/>
    <w:rsid w:val="00DF2B5F"/>
    <w:rsid w:val="00DF326C"/>
    <w:rsid w:val="00DF34F5"/>
    <w:rsid w:val="00DF3AF2"/>
    <w:rsid w:val="00DF4B20"/>
    <w:rsid w:val="00DF4DC7"/>
    <w:rsid w:val="00DF60F3"/>
    <w:rsid w:val="00DF77BC"/>
    <w:rsid w:val="00E0060A"/>
    <w:rsid w:val="00E010A3"/>
    <w:rsid w:val="00E03002"/>
    <w:rsid w:val="00E03345"/>
    <w:rsid w:val="00E0437C"/>
    <w:rsid w:val="00E04722"/>
    <w:rsid w:val="00E065D5"/>
    <w:rsid w:val="00E107A1"/>
    <w:rsid w:val="00E1105C"/>
    <w:rsid w:val="00E12AC4"/>
    <w:rsid w:val="00E12C35"/>
    <w:rsid w:val="00E20017"/>
    <w:rsid w:val="00E20F49"/>
    <w:rsid w:val="00E21E82"/>
    <w:rsid w:val="00E22888"/>
    <w:rsid w:val="00E22947"/>
    <w:rsid w:val="00E23136"/>
    <w:rsid w:val="00E24196"/>
    <w:rsid w:val="00E340A6"/>
    <w:rsid w:val="00E4186E"/>
    <w:rsid w:val="00E42559"/>
    <w:rsid w:val="00E43287"/>
    <w:rsid w:val="00E437FE"/>
    <w:rsid w:val="00E462FC"/>
    <w:rsid w:val="00E464EC"/>
    <w:rsid w:val="00E54A9C"/>
    <w:rsid w:val="00E553EB"/>
    <w:rsid w:val="00E55D14"/>
    <w:rsid w:val="00E5731D"/>
    <w:rsid w:val="00E61C52"/>
    <w:rsid w:val="00E63A88"/>
    <w:rsid w:val="00E66A68"/>
    <w:rsid w:val="00E672C5"/>
    <w:rsid w:val="00E74E93"/>
    <w:rsid w:val="00E77634"/>
    <w:rsid w:val="00E77F7A"/>
    <w:rsid w:val="00E80A46"/>
    <w:rsid w:val="00E80ABD"/>
    <w:rsid w:val="00E811CD"/>
    <w:rsid w:val="00E8168C"/>
    <w:rsid w:val="00E81B46"/>
    <w:rsid w:val="00E82DD0"/>
    <w:rsid w:val="00E8482E"/>
    <w:rsid w:val="00E86CF3"/>
    <w:rsid w:val="00E92511"/>
    <w:rsid w:val="00E93D07"/>
    <w:rsid w:val="00EA062D"/>
    <w:rsid w:val="00EA3CE2"/>
    <w:rsid w:val="00EA454B"/>
    <w:rsid w:val="00EA4635"/>
    <w:rsid w:val="00EA4C57"/>
    <w:rsid w:val="00EA53A4"/>
    <w:rsid w:val="00EA573F"/>
    <w:rsid w:val="00EA57F5"/>
    <w:rsid w:val="00EA638E"/>
    <w:rsid w:val="00EA7111"/>
    <w:rsid w:val="00EB109F"/>
    <w:rsid w:val="00EB2A2D"/>
    <w:rsid w:val="00EB6455"/>
    <w:rsid w:val="00EB6E61"/>
    <w:rsid w:val="00EC162B"/>
    <w:rsid w:val="00EC2277"/>
    <w:rsid w:val="00EC2DB2"/>
    <w:rsid w:val="00EC2E8D"/>
    <w:rsid w:val="00EC6323"/>
    <w:rsid w:val="00EC7A9C"/>
    <w:rsid w:val="00ED0B1E"/>
    <w:rsid w:val="00ED14BB"/>
    <w:rsid w:val="00ED1776"/>
    <w:rsid w:val="00ED3D14"/>
    <w:rsid w:val="00ED4B19"/>
    <w:rsid w:val="00ED6491"/>
    <w:rsid w:val="00ED69A1"/>
    <w:rsid w:val="00ED7455"/>
    <w:rsid w:val="00ED7757"/>
    <w:rsid w:val="00EE15FA"/>
    <w:rsid w:val="00EE2B1A"/>
    <w:rsid w:val="00EE4888"/>
    <w:rsid w:val="00EF113D"/>
    <w:rsid w:val="00EF35F5"/>
    <w:rsid w:val="00EF7523"/>
    <w:rsid w:val="00F0015D"/>
    <w:rsid w:val="00F00DD7"/>
    <w:rsid w:val="00F01123"/>
    <w:rsid w:val="00F022B7"/>
    <w:rsid w:val="00F049CC"/>
    <w:rsid w:val="00F060D9"/>
    <w:rsid w:val="00F06699"/>
    <w:rsid w:val="00F06C3E"/>
    <w:rsid w:val="00F10364"/>
    <w:rsid w:val="00F11469"/>
    <w:rsid w:val="00F11523"/>
    <w:rsid w:val="00F119F4"/>
    <w:rsid w:val="00F1363A"/>
    <w:rsid w:val="00F13C97"/>
    <w:rsid w:val="00F1668E"/>
    <w:rsid w:val="00F21521"/>
    <w:rsid w:val="00F233DA"/>
    <w:rsid w:val="00F268D3"/>
    <w:rsid w:val="00F3116F"/>
    <w:rsid w:val="00F325A4"/>
    <w:rsid w:val="00F33BF7"/>
    <w:rsid w:val="00F352F9"/>
    <w:rsid w:val="00F365FA"/>
    <w:rsid w:val="00F37C0F"/>
    <w:rsid w:val="00F428D6"/>
    <w:rsid w:val="00F45A90"/>
    <w:rsid w:val="00F46567"/>
    <w:rsid w:val="00F47959"/>
    <w:rsid w:val="00F529F2"/>
    <w:rsid w:val="00F53576"/>
    <w:rsid w:val="00F53699"/>
    <w:rsid w:val="00F53C85"/>
    <w:rsid w:val="00F54458"/>
    <w:rsid w:val="00F54976"/>
    <w:rsid w:val="00F56B9B"/>
    <w:rsid w:val="00F577E8"/>
    <w:rsid w:val="00F62B84"/>
    <w:rsid w:val="00F7261E"/>
    <w:rsid w:val="00F758B6"/>
    <w:rsid w:val="00F75A00"/>
    <w:rsid w:val="00F764ED"/>
    <w:rsid w:val="00F76D6F"/>
    <w:rsid w:val="00F773FC"/>
    <w:rsid w:val="00F776AB"/>
    <w:rsid w:val="00F776EC"/>
    <w:rsid w:val="00F8767C"/>
    <w:rsid w:val="00F91123"/>
    <w:rsid w:val="00F93D3B"/>
    <w:rsid w:val="00FA0B46"/>
    <w:rsid w:val="00FA1968"/>
    <w:rsid w:val="00FA2315"/>
    <w:rsid w:val="00FA27F4"/>
    <w:rsid w:val="00FA3075"/>
    <w:rsid w:val="00FA3480"/>
    <w:rsid w:val="00FA357D"/>
    <w:rsid w:val="00FA524B"/>
    <w:rsid w:val="00FA6C3E"/>
    <w:rsid w:val="00FA6D68"/>
    <w:rsid w:val="00FA77D0"/>
    <w:rsid w:val="00FA7BA1"/>
    <w:rsid w:val="00FB0990"/>
    <w:rsid w:val="00FB145A"/>
    <w:rsid w:val="00FB1D7D"/>
    <w:rsid w:val="00FB1F6F"/>
    <w:rsid w:val="00FB3F34"/>
    <w:rsid w:val="00FB5421"/>
    <w:rsid w:val="00FB5FE7"/>
    <w:rsid w:val="00FB6E3B"/>
    <w:rsid w:val="00FB7AC8"/>
    <w:rsid w:val="00FB7CD3"/>
    <w:rsid w:val="00FC014F"/>
    <w:rsid w:val="00FC109A"/>
    <w:rsid w:val="00FC23D7"/>
    <w:rsid w:val="00FC31D7"/>
    <w:rsid w:val="00FC3665"/>
    <w:rsid w:val="00FC5AF8"/>
    <w:rsid w:val="00FC5BE1"/>
    <w:rsid w:val="00FC6221"/>
    <w:rsid w:val="00FC78CF"/>
    <w:rsid w:val="00FC7903"/>
    <w:rsid w:val="00FD2AC0"/>
    <w:rsid w:val="00FD2B4D"/>
    <w:rsid w:val="00FD51E8"/>
    <w:rsid w:val="00FD5348"/>
    <w:rsid w:val="00FD5F03"/>
    <w:rsid w:val="00FD60F5"/>
    <w:rsid w:val="00FD723E"/>
    <w:rsid w:val="00FE2094"/>
    <w:rsid w:val="00FE2697"/>
    <w:rsid w:val="00FE42D2"/>
    <w:rsid w:val="00FE5CF7"/>
    <w:rsid w:val="00FE6B18"/>
    <w:rsid w:val="00FF1CA1"/>
    <w:rsid w:val="00FF26B2"/>
    <w:rsid w:val="00FF27EF"/>
    <w:rsid w:val="00FF2A48"/>
    <w:rsid w:val="00FF36AE"/>
    <w:rsid w:val="00FF4865"/>
    <w:rsid w:val="00FF67C5"/>
    <w:rsid w:val="00FF7C9C"/>
    <w:rsid w:val="01093943"/>
    <w:rsid w:val="013B7F32"/>
    <w:rsid w:val="01A22D46"/>
    <w:rsid w:val="01B5047C"/>
    <w:rsid w:val="01F231D9"/>
    <w:rsid w:val="021520A6"/>
    <w:rsid w:val="022728F2"/>
    <w:rsid w:val="02304E3D"/>
    <w:rsid w:val="02483265"/>
    <w:rsid w:val="025A6B3F"/>
    <w:rsid w:val="02765598"/>
    <w:rsid w:val="028A41BB"/>
    <w:rsid w:val="029D5CDB"/>
    <w:rsid w:val="02A83AE2"/>
    <w:rsid w:val="02BC1AB4"/>
    <w:rsid w:val="02D158C4"/>
    <w:rsid w:val="02EA246D"/>
    <w:rsid w:val="03043F03"/>
    <w:rsid w:val="0319148B"/>
    <w:rsid w:val="0323621A"/>
    <w:rsid w:val="032766C6"/>
    <w:rsid w:val="03431470"/>
    <w:rsid w:val="03593735"/>
    <w:rsid w:val="035A66D2"/>
    <w:rsid w:val="035C4333"/>
    <w:rsid w:val="038369CF"/>
    <w:rsid w:val="0389790C"/>
    <w:rsid w:val="038B57A4"/>
    <w:rsid w:val="03B01247"/>
    <w:rsid w:val="03C74BB5"/>
    <w:rsid w:val="03FE4670"/>
    <w:rsid w:val="04347C1D"/>
    <w:rsid w:val="043642F1"/>
    <w:rsid w:val="04383BF5"/>
    <w:rsid w:val="045E120C"/>
    <w:rsid w:val="046C2692"/>
    <w:rsid w:val="048B5043"/>
    <w:rsid w:val="0498709C"/>
    <w:rsid w:val="04DE4302"/>
    <w:rsid w:val="04F60372"/>
    <w:rsid w:val="05246FA6"/>
    <w:rsid w:val="0529205C"/>
    <w:rsid w:val="0536769A"/>
    <w:rsid w:val="057D200D"/>
    <w:rsid w:val="05A33817"/>
    <w:rsid w:val="05C33C0D"/>
    <w:rsid w:val="05DF1C52"/>
    <w:rsid w:val="05EA2DDC"/>
    <w:rsid w:val="06131D9D"/>
    <w:rsid w:val="061E6E48"/>
    <w:rsid w:val="061F13E5"/>
    <w:rsid w:val="06893037"/>
    <w:rsid w:val="068B7C0B"/>
    <w:rsid w:val="069261D4"/>
    <w:rsid w:val="06BB4CD8"/>
    <w:rsid w:val="06FA27D4"/>
    <w:rsid w:val="07204F39"/>
    <w:rsid w:val="0732560D"/>
    <w:rsid w:val="07885D42"/>
    <w:rsid w:val="07937922"/>
    <w:rsid w:val="07993B59"/>
    <w:rsid w:val="079E4B05"/>
    <w:rsid w:val="081258B6"/>
    <w:rsid w:val="084C59A8"/>
    <w:rsid w:val="086B3DDE"/>
    <w:rsid w:val="08790DB9"/>
    <w:rsid w:val="089A65E0"/>
    <w:rsid w:val="08AF75B4"/>
    <w:rsid w:val="08D74698"/>
    <w:rsid w:val="09046CFC"/>
    <w:rsid w:val="09257910"/>
    <w:rsid w:val="098175B4"/>
    <w:rsid w:val="098D5689"/>
    <w:rsid w:val="09F14739"/>
    <w:rsid w:val="09F73A39"/>
    <w:rsid w:val="0A2327BF"/>
    <w:rsid w:val="0A2D702D"/>
    <w:rsid w:val="0A3C2742"/>
    <w:rsid w:val="0A910708"/>
    <w:rsid w:val="0AAB1708"/>
    <w:rsid w:val="0AB944A3"/>
    <w:rsid w:val="0ABE2142"/>
    <w:rsid w:val="0AC721BC"/>
    <w:rsid w:val="0AD772D6"/>
    <w:rsid w:val="0ADA114D"/>
    <w:rsid w:val="0B1A5ED8"/>
    <w:rsid w:val="0B273CA6"/>
    <w:rsid w:val="0B3A78C1"/>
    <w:rsid w:val="0B3B165B"/>
    <w:rsid w:val="0B5511C4"/>
    <w:rsid w:val="0B59696E"/>
    <w:rsid w:val="0B754628"/>
    <w:rsid w:val="0B8762CB"/>
    <w:rsid w:val="0BDE619E"/>
    <w:rsid w:val="0C0C34B5"/>
    <w:rsid w:val="0C2A1582"/>
    <w:rsid w:val="0C2A7B43"/>
    <w:rsid w:val="0C323B20"/>
    <w:rsid w:val="0C5D4385"/>
    <w:rsid w:val="0C6F6E83"/>
    <w:rsid w:val="0C8C223C"/>
    <w:rsid w:val="0D0772DA"/>
    <w:rsid w:val="0D297FAB"/>
    <w:rsid w:val="0D6C69B9"/>
    <w:rsid w:val="0D7E561A"/>
    <w:rsid w:val="0DDB3E07"/>
    <w:rsid w:val="0DF76096"/>
    <w:rsid w:val="0DFA648A"/>
    <w:rsid w:val="0DFF0D35"/>
    <w:rsid w:val="0E313DE0"/>
    <w:rsid w:val="0E3E575B"/>
    <w:rsid w:val="0E441201"/>
    <w:rsid w:val="0E5F6C53"/>
    <w:rsid w:val="0E6157A8"/>
    <w:rsid w:val="0E782F04"/>
    <w:rsid w:val="0E8F4578"/>
    <w:rsid w:val="0EB91778"/>
    <w:rsid w:val="0EBA4906"/>
    <w:rsid w:val="0EFF3D52"/>
    <w:rsid w:val="0F0C3C1C"/>
    <w:rsid w:val="0F2D2774"/>
    <w:rsid w:val="0F303CAE"/>
    <w:rsid w:val="0F593EE8"/>
    <w:rsid w:val="0FB029A1"/>
    <w:rsid w:val="0FD40F52"/>
    <w:rsid w:val="0FE22120"/>
    <w:rsid w:val="0FE92B27"/>
    <w:rsid w:val="0FF82148"/>
    <w:rsid w:val="107832BE"/>
    <w:rsid w:val="108943D5"/>
    <w:rsid w:val="10B6688B"/>
    <w:rsid w:val="10DA5B22"/>
    <w:rsid w:val="1114617F"/>
    <w:rsid w:val="114C4D01"/>
    <w:rsid w:val="118543DA"/>
    <w:rsid w:val="11936531"/>
    <w:rsid w:val="11C967AD"/>
    <w:rsid w:val="11CE35B2"/>
    <w:rsid w:val="11F37458"/>
    <w:rsid w:val="122B415E"/>
    <w:rsid w:val="12617F82"/>
    <w:rsid w:val="128751A9"/>
    <w:rsid w:val="12A2251F"/>
    <w:rsid w:val="12AF68C6"/>
    <w:rsid w:val="12E31017"/>
    <w:rsid w:val="12E6170F"/>
    <w:rsid w:val="12EA6D23"/>
    <w:rsid w:val="12F62EF5"/>
    <w:rsid w:val="130E096D"/>
    <w:rsid w:val="136F7B1E"/>
    <w:rsid w:val="13827767"/>
    <w:rsid w:val="13960488"/>
    <w:rsid w:val="13BC3A1A"/>
    <w:rsid w:val="13C01D15"/>
    <w:rsid w:val="13EA777C"/>
    <w:rsid w:val="13F11553"/>
    <w:rsid w:val="13F87728"/>
    <w:rsid w:val="14741EAA"/>
    <w:rsid w:val="1479428F"/>
    <w:rsid w:val="147976DB"/>
    <w:rsid w:val="14D0412A"/>
    <w:rsid w:val="14F03D3B"/>
    <w:rsid w:val="14FE77F3"/>
    <w:rsid w:val="1534525F"/>
    <w:rsid w:val="15587479"/>
    <w:rsid w:val="156C6F57"/>
    <w:rsid w:val="15804431"/>
    <w:rsid w:val="15B322D9"/>
    <w:rsid w:val="15BE085E"/>
    <w:rsid w:val="15BF3FE8"/>
    <w:rsid w:val="15D11799"/>
    <w:rsid w:val="15E218CE"/>
    <w:rsid w:val="15FE6BBC"/>
    <w:rsid w:val="16306723"/>
    <w:rsid w:val="165A5414"/>
    <w:rsid w:val="1667406E"/>
    <w:rsid w:val="168414C9"/>
    <w:rsid w:val="16CD78F7"/>
    <w:rsid w:val="17103D25"/>
    <w:rsid w:val="172C2217"/>
    <w:rsid w:val="175A7EC9"/>
    <w:rsid w:val="17740758"/>
    <w:rsid w:val="17942BA8"/>
    <w:rsid w:val="17E63298"/>
    <w:rsid w:val="17FE3348"/>
    <w:rsid w:val="18700F1F"/>
    <w:rsid w:val="1870214D"/>
    <w:rsid w:val="18C15C1F"/>
    <w:rsid w:val="19464125"/>
    <w:rsid w:val="1962187D"/>
    <w:rsid w:val="19856C4C"/>
    <w:rsid w:val="19B63A54"/>
    <w:rsid w:val="19DE230D"/>
    <w:rsid w:val="19DE635C"/>
    <w:rsid w:val="19DF7A20"/>
    <w:rsid w:val="19F2620A"/>
    <w:rsid w:val="1A135D80"/>
    <w:rsid w:val="1A430314"/>
    <w:rsid w:val="1A4C314E"/>
    <w:rsid w:val="1A4E086F"/>
    <w:rsid w:val="1A700DC8"/>
    <w:rsid w:val="1A733C35"/>
    <w:rsid w:val="1AA57FC0"/>
    <w:rsid w:val="1AE97737"/>
    <w:rsid w:val="1AEC614C"/>
    <w:rsid w:val="1AF678F5"/>
    <w:rsid w:val="1AF92432"/>
    <w:rsid w:val="1B103D73"/>
    <w:rsid w:val="1B1B26AB"/>
    <w:rsid w:val="1B1E5E41"/>
    <w:rsid w:val="1B5563F1"/>
    <w:rsid w:val="1B672018"/>
    <w:rsid w:val="1B8D4D43"/>
    <w:rsid w:val="1BA75700"/>
    <w:rsid w:val="1BD50413"/>
    <w:rsid w:val="1C2465A3"/>
    <w:rsid w:val="1C2B3CC2"/>
    <w:rsid w:val="1C4027D8"/>
    <w:rsid w:val="1C4077D1"/>
    <w:rsid w:val="1C422C48"/>
    <w:rsid w:val="1C622A2A"/>
    <w:rsid w:val="1C741B77"/>
    <w:rsid w:val="1C9F2B0E"/>
    <w:rsid w:val="1CB140D6"/>
    <w:rsid w:val="1CB92ED4"/>
    <w:rsid w:val="1CBB7632"/>
    <w:rsid w:val="1CC44EE3"/>
    <w:rsid w:val="1CC45EBE"/>
    <w:rsid w:val="1CCE3A9F"/>
    <w:rsid w:val="1CEC404E"/>
    <w:rsid w:val="1D1964B6"/>
    <w:rsid w:val="1D6472D5"/>
    <w:rsid w:val="1D7A639C"/>
    <w:rsid w:val="1D8D2327"/>
    <w:rsid w:val="1DB573D4"/>
    <w:rsid w:val="1DC046F7"/>
    <w:rsid w:val="1DD347A5"/>
    <w:rsid w:val="1DD67A76"/>
    <w:rsid w:val="1DFA5545"/>
    <w:rsid w:val="1E5D3C95"/>
    <w:rsid w:val="1E841A57"/>
    <w:rsid w:val="1E8F6165"/>
    <w:rsid w:val="1EB70ECC"/>
    <w:rsid w:val="1EC21A0E"/>
    <w:rsid w:val="1EF53A59"/>
    <w:rsid w:val="1F1C09D3"/>
    <w:rsid w:val="1F3D58D3"/>
    <w:rsid w:val="1F3F164B"/>
    <w:rsid w:val="1F6079CF"/>
    <w:rsid w:val="1FC26598"/>
    <w:rsid w:val="1FEE5420"/>
    <w:rsid w:val="200A35A2"/>
    <w:rsid w:val="206616B5"/>
    <w:rsid w:val="207356D7"/>
    <w:rsid w:val="20937EA1"/>
    <w:rsid w:val="20990BC2"/>
    <w:rsid w:val="20B70F3B"/>
    <w:rsid w:val="20C32F69"/>
    <w:rsid w:val="20E21D20"/>
    <w:rsid w:val="21001422"/>
    <w:rsid w:val="21031038"/>
    <w:rsid w:val="210D2AF4"/>
    <w:rsid w:val="21162D35"/>
    <w:rsid w:val="217C217E"/>
    <w:rsid w:val="218D7567"/>
    <w:rsid w:val="21B527DE"/>
    <w:rsid w:val="21B829DA"/>
    <w:rsid w:val="21DF0EC4"/>
    <w:rsid w:val="21FD66AC"/>
    <w:rsid w:val="2208331A"/>
    <w:rsid w:val="22105E95"/>
    <w:rsid w:val="22181C35"/>
    <w:rsid w:val="22356E6A"/>
    <w:rsid w:val="2290572F"/>
    <w:rsid w:val="22A91925"/>
    <w:rsid w:val="22B80598"/>
    <w:rsid w:val="22CA44D5"/>
    <w:rsid w:val="22CE1640"/>
    <w:rsid w:val="22D57535"/>
    <w:rsid w:val="234619DB"/>
    <w:rsid w:val="238F05A3"/>
    <w:rsid w:val="2395480F"/>
    <w:rsid w:val="23C56502"/>
    <w:rsid w:val="23E616ED"/>
    <w:rsid w:val="23E8280F"/>
    <w:rsid w:val="24367346"/>
    <w:rsid w:val="243F5C4A"/>
    <w:rsid w:val="244F4611"/>
    <w:rsid w:val="246C31DB"/>
    <w:rsid w:val="24967F5F"/>
    <w:rsid w:val="24B108F5"/>
    <w:rsid w:val="24C8358D"/>
    <w:rsid w:val="24E9569E"/>
    <w:rsid w:val="24F25340"/>
    <w:rsid w:val="25104CA6"/>
    <w:rsid w:val="25AC39AD"/>
    <w:rsid w:val="25AC3ECC"/>
    <w:rsid w:val="25C47796"/>
    <w:rsid w:val="25F31A27"/>
    <w:rsid w:val="261B1CF2"/>
    <w:rsid w:val="266D0EFE"/>
    <w:rsid w:val="26827BDC"/>
    <w:rsid w:val="268A1777"/>
    <w:rsid w:val="26BF0F78"/>
    <w:rsid w:val="26D6054F"/>
    <w:rsid w:val="26F33261"/>
    <w:rsid w:val="2721171A"/>
    <w:rsid w:val="272742BE"/>
    <w:rsid w:val="2736130C"/>
    <w:rsid w:val="273D3957"/>
    <w:rsid w:val="274A770E"/>
    <w:rsid w:val="2788146A"/>
    <w:rsid w:val="27AE69D0"/>
    <w:rsid w:val="27AF390F"/>
    <w:rsid w:val="27E6353B"/>
    <w:rsid w:val="27E849D0"/>
    <w:rsid w:val="27F126D9"/>
    <w:rsid w:val="280C1990"/>
    <w:rsid w:val="28243AD4"/>
    <w:rsid w:val="283C676D"/>
    <w:rsid w:val="284E7C63"/>
    <w:rsid w:val="286D07E3"/>
    <w:rsid w:val="28761B75"/>
    <w:rsid w:val="288C3296"/>
    <w:rsid w:val="289211D6"/>
    <w:rsid w:val="28976054"/>
    <w:rsid w:val="289E3729"/>
    <w:rsid w:val="28AB7D51"/>
    <w:rsid w:val="28B37BA6"/>
    <w:rsid w:val="28C35680"/>
    <w:rsid w:val="28EE03BE"/>
    <w:rsid w:val="28F0783A"/>
    <w:rsid w:val="28FA006C"/>
    <w:rsid w:val="29072A9C"/>
    <w:rsid w:val="29266AB7"/>
    <w:rsid w:val="294778BF"/>
    <w:rsid w:val="2984541F"/>
    <w:rsid w:val="29AA157C"/>
    <w:rsid w:val="29B71655"/>
    <w:rsid w:val="29EA2F47"/>
    <w:rsid w:val="2A087FB5"/>
    <w:rsid w:val="2A5644E1"/>
    <w:rsid w:val="2AA77572"/>
    <w:rsid w:val="2AFC5897"/>
    <w:rsid w:val="2B0E422E"/>
    <w:rsid w:val="2B1A5804"/>
    <w:rsid w:val="2B1D3BAD"/>
    <w:rsid w:val="2B80011B"/>
    <w:rsid w:val="2BB315DB"/>
    <w:rsid w:val="2C0F23A5"/>
    <w:rsid w:val="2C1B22DC"/>
    <w:rsid w:val="2C2D1189"/>
    <w:rsid w:val="2C2F792B"/>
    <w:rsid w:val="2C4E1120"/>
    <w:rsid w:val="2C527E03"/>
    <w:rsid w:val="2C5664DD"/>
    <w:rsid w:val="2CA529C5"/>
    <w:rsid w:val="2CA636A6"/>
    <w:rsid w:val="2CB03B88"/>
    <w:rsid w:val="2CBC7FD9"/>
    <w:rsid w:val="2CC44C5D"/>
    <w:rsid w:val="2CC563A2"/>
    <w:rsid w:val="2CDD5971"/>
    <w:rsid w:val="2CE87145"/>
    <w:rsid w:val="2D061DEB"/>
    <w:rsid w:val="2D3C75E5"/>
    <w:rsid w:val="2D474DF9"/>
    <w:rsid w:val="2D734326"/>
    <w:rsid w:val="2DBF1599"/>
    <w:rsid w:val="2DEC5E52"/>
    <w:rsid w:val="2E174972"/>
    <w:rsid w:val="2E491C3B"/>
    <w:rsid w:val="2E4C5B33"/>
    <w:rsid w:val="2E4D0301"/>
    <w:rsid w:val="2E622D4D"/>
    <w:rsid w:val="2E861552"/>
    <w:rsid w:val="2E921803"/>
    <w:rsid w:val="2EAA702B"/>
    <w:rsid w:val="2ED672E8"/>
    <w:rsid w:val="2F466BF8"/>
    <w:rsid w:val="2F4A14FC"/>
    <w:rsid w:val="2F6E06CE"/>
    <w:rsid w:val="2F982F65"/>
    <w:rsid w:val="2FA514C7"/>
    <w:rsid w:val="2FED6EB0"/>
    <w:rsid w:val="301430BA"/>
    <w:rsid w:val="30165FEE"/>
    <w:rsid w:val="3020283C"/>
    <w:rsid w:val="30381737"/>
    <w:rsid w:val="30AD30A4"/>
    <w:rsid w:val="30B62D7B"/>
    <w:rsid w:val="30B77C24"/>
    <w:rsid w:val="30BE2E8E"/>
    <w:rsid w:val="30CE282F"/>
    <w:rsid w:val="30E03740"/>
    <w:rsid w:val="31075EEC"/>
    <w:rsid w:val="310D1C85"/>
    <w:rsid w:val="31190FB4"/>
    <w:rsid w:val="314B1C20"/>
    <w:rsid w:val="3196650E"/>
    <w:rsid w:val="31B041BB"/>
    <w:rsid w:val="326F3ADB"/>
    <w:rsid w:val="32843928"/>
    <w:rsid w:val="329B338F"/>
    <w:rsid w:val="32F14FA0"/>
    <w:rsid w:val="33074D50"/>
    <w:rsid w:val="330A1A27"/>
    <w:rsid w:val="332E1CAB"/>
    <w:rsid w:val="33BB3222"/>
    <w:rsid w:val="34353882"/>
    <w:rsid w:val="34386CDE"/>
    <w:rsid w:val="3445143A"/>
    <w:rsid w:val="34503146"/>
    <w:rsid w:val="348726DF"/>
    <w:rsid w:val="348B4B08"/>
    <w:rsid w:val="34DB304F"/>
    <w:rsid w:val="35176328"/>
    <w:rsid w:val="353121E7"/>
    <w:rsid w:val="353B295F"/>
    <w:rsid w:val="357A11D7"/>
    <w:rsid w:val="35B233B5"/>
    <w:rsid w:val="35CF3C38"/>
    <w:rsid w:val="35D57474"/>
    <w:rsid w:val="35F660DD"/>
    <w:rsid w:val="36050DF0"/>
    <w:rsid w:val="3606069A"/>
    <w:rsid w:val="36351AD9"/>
    <w:rsid w:val="365A34BC"/>
    <w:rsid w:val="366A2EDE"/>
    <w:rsid w:val="36907603"/>
    <w:rsid w:val="36964DC6"/>
    <w:rsid w:val="36AF5145"/>
    <w:rsid w:val="36BD3E9D"/>
    <w:rsid w:val="36D25D86"/>
    <w:rsid w:val="36FB043A"/>
    <w:rsid w:val="370807A5"/>
    <w:rsid w:val="37252FD4"/>
    <w:rsid w:val="372B09DB"/>
    <w:rsid w:val="373D1827"/>
    <w:rsid w:val="374A1728"/>
    <w:rsid w:val="3789121B"/>
    <w:rsid w:val="37894C1D"/>
    <w:rsid w:val="37A7012D"/>
    <w:rsid w:val="380B2484"/>
    <w:rsid w:val="381672D6"/>
    <w:rsid w:val="38191504"/>
    <w:rsid w:val="38422003"/>
    <w:rsid w:val="38522031"/>
    <w:rsid w:val="38774A86"/>
    <w:rsid w:val="388F2DAC"/>
    <w:rsid w:val="3899207F"/>
    <w:rsid w:val="38AD0948"/>
    <w:rsid w:val="38EC3030"/>
    <w:rsid w:val="3907079C"/>
    <w:rsid w:val="390B5439"/>
    <w:rsid w:val="390E2D90"/>
    <w:rsid w:val="391E6CA0"/>
    <w:rsid w:val="39290B48"/>
    <w:rsid w:val="392C1D09"/>
    <w:rsid w:val="393620F8"/>
    <w:rsid w:val="3948566B"/>
    <w:rsid w:val="39500B70"/>
    <w:rsid w:val="398F1719"/>
    <w:rsid w:val="39925E07"/>
    <w:rsid w:val="39987ABC"/>
    <w:rsid w:val="39A54802"/>
    <w:rsid w:val="39C1141D"/>
    <w:rsid w:val="39EB4452"/>
    <w:rsid w:val="3A836FDE"/>
    <w:rsid w:val="3A856654"/>
    <w:rsid w:val="3A9B59B8"/>
    <w:rsid w:val="3AA64A12"/>
    <w:rsid w:val="3AD727C2"/>
    <w:rsid w:val="3AEC7D29"/>
    <w:rsid w:val="3B187E70"/>
    <w:rsid w:val="3B1D0373"/>
    <w:rsid w:val="3B450C78"/>
    <w:rsid w:val="3B4A3915"/>
    <w:rsid w:val="3B4D4268"/>
    <w:rsid w:val="3B5106CF"/>
    <w:rsid w:val="3BAB11BC"/>
    <w:rsid w:val="3BBB5F8A"/>
    <w:rsid w:val="3BC23CC0"/>
    <w:rsid w:val="3BF45CEC"/>
    <w:rsid w:val="3C202017"/>
    <w:rsid w:val="3C3A4C06"/>
    <w:rsid w:val="3CE75305"/>
    <w:rsid w:val="3D0745F0"/>
    <w:rsid w:val="3D255500"/>
    <w:rsid w:val="3D267304"/>
    <w:rsid w:val="3D3B79B7"/>
    <w:rsid w:val="3D83613B"/>
    <w:rsid w:val="3DB3027F"/>
    <w:rsid w:val="3DE25B6C"/>
    <w:rsid w:val="3DEC0266"/>
    <w:rsid w:val="3DEE6A01"/>
    <w:rsid w:val="3E0F7557"/>
    <w:rsid w:val="3E1D0952"/>
    <w:rsid w:val="3E2D6DEB"/>
    <w:rsid w:val="3E2E36B9"/>
    <w:rsid w:val="3E3B7DE0"/>
    <w:rsid w:val="3E410578"/>
    <w:rsid w:val="3E441727"/>
    <w:rsid w:val="3E4521A7"/>
    <w:rsid w:val="3E7802D0"/>
    <w:rsid w:val="3E7D18B2"/>
    <w:rsid w:val="3E896883"/>
    <w:rsid w:val="3EA801F3"/>
    <w:rsid w:val="3ECF4342"/>
    <w:rsid w:val="3ED100BA"/>
    <w:rsid w:val="3F544847"/>
    <w:rsid w:val="3F561C1E"/>
    <w:rsid w:val="3F8C5644"/>
    <w:rsid w:val="3F966B7E"/>
    <w:rsid w:val="3FB52D2F"/>
    <w:rsid w:val="3FB7626F"/>
    <w:rsid w:val="3FD22CAD"/>
    <w:rsid w:val="3FF06503"/>
    <w:rsid w:val="400323C1"/>
    <w:rsid w:val="402574CE"/>
    <w:rsid w:val="406C7618"/>
    <w:rsid w:val="40735F38"/>
    <w:rsid w:val="407C2437"/>
    <w:rsid w:val="407C62EA"/>
    <w:rsid w:val="40852AB5"/>
    <w:rsid w:val="40A45C9D"/>
    <w:rsid w:val="40A86FB7"/>
    <w:rsid w:val="40B23102"/>
    <w:rsid w:val="40C853EE"/>
    <w:rsid w:val="40C913D4"/>
    <w:rsid w:val="40C94F5B"/>
    <w:rsid w:val="40C962E5"/>
    <w:rsid w:val="40F36BDA"/>
    <w:rsid w:val="410248A9"/>
    <w:rsid w:val="41094F3D"/>
    <w:rsid w:val="411A7291"/>
    <w:rsid w:val="412C782A"/>
    <w:rsid w:val="41316733"/>
    <w:rsid w:val="41447FD1"/>
    <w:rsid w:val="41672E76"/>
    <w:rsid w:val="418D5EDD"/>
    <w:rsid w:val="41946B8D"/>
    <w:rsid w:val="41A77BAD"/>
    <w:rsid w:val="41AC1C92"/>
    <w:rsid w:val="41B62186"/>
    <w:rsid w:val="41C74C14"/>
    <w:rsid w:val="41E940E1"/>
    <w:rsid w:val="41EC6E05"/>
    <w:rsid w:val="420A743F"/>
    <w:rsid w:val="423B6B71"/>
    <w:rsid w:val="4265638E"/>
    <w:rsid w:val="429E5B12"/>
    <w:rsid w:val="42FD7D1C"/>
    <w:rsid w:val="43033CCE"/>
    <w:rsid w:val="43190E39"/>
    <w:rsid w:val="43206397"/>
    <w:rsid w:val="43486E4E"/>
    <w:rsid w:val="4358700D"/>
    <w:rsid w:val="435F0417"/>
    <w:rsid w:val="43637BF4"/>
    <w:rsid w:val="43677A21"/>
    <w:rsid w:val="43792ACE"/>
    <w:rsid w:val="43B33304"/>
    <w:rsid w:val="43C3630F"/>
    <w:rsid w:val="43E61D35"/>
    <w:rsid w:val="43EF2284"/>
    <w:rsid w:val="44027C20"/>
    <w:rsid w:val="44423C0E"/>
    <w:rsid w:val="44604E49"/>
    <w:rsid w:val="44846D78"/>
    <w:rsid w:val="44A048E1"/>
    <w:rsid w:val="44B73037"/>
    <w:rsid w:val="44CF6CEC"/>
    <w:rsid w:val="44F231A3"/>
    <w:rsid w:val="450A0CF7"/>
    <w:rsid w:val="4588524B"/>
    <w:rsid w:val="459A12A8"/>
    <w:rsid w:val="45D81463"/>
    <w:rsid w:val="45DC6F0D"/>
    <w:rsid w:val="45E435E2"/>
    <w:rsid w:val="46514C7B"/>
    <w:rsid w:val="46520131"/>
    <w:rsid w:val="46570D18"/>
    <w:rsid w:val="46677F33"/>
    <w:rsid w:val="468D3DAD"/>
    <w:rsid w:val="46981C68"/>
    <w:rsid w:val="46BE69CA"/>
    <w:rsid w:val="46CA44E4"/>
    <w:rsid w:val="46D87908"/>
    <w:rsid w:val="46F46794"/>
    <w:rsid w:val="47003DBE"/>
    <w:rsid w:val="472B0D96"/>
    <w:rsid w:val="47382C65"/>
    <w:rsid w:val="47576DC4"/>
    <w:rsid w:val="476A4507"/>
    <w:rsid w:val="477F0AE9"/>
    <w:rsid w:val="4781466F"/>
    <w:rsid w:val="482C50CD"/>
    <w:rsid w:val="482D69F6"/>
    <w:rsid w:val="48321B0D"/>
    <w:rsid w:val="484521EF"/>
    <w:rsid w:val="485C3F8A"/>
    <w:rsid w:val="48601D54"/>
    <w:rsid w:val="486B6AAE"/>
    <w:rsid w:val="48733F7B"/>
    <w:rsid w:val="48773972"/>
    <w:rsid w:val="4877520A"/>
    <w:rsid w:val="489D2798"/>
    <w:rsid w:val="48A17EE0"/>
    <w:rsid w:val="48BF3D66"/>
    <w:rsid w:val="48F13803"/>
    <w:rsid w:val="491F33FC"/>
    <w:rsid w:val="49204B5B"/>
    <w:rsid w:val="49314383"/>
    <w:rsid w:val="4966450F"/>
    <w:rsid w:val="4974388D"/>
    <w:rsid w:val="499D7FED"/>
    <w:rsid w:val="49B36554"/>
    <w:rsid w:val="49E53E2C"/>
    <w:rsid w:val="49F968E8"/>
    <w:rsid w:val="4A025386"/>
    <w:rsid w:val="4A0C0D08"/>
    <w:rsid w:val="4A2C3945"/>
    <w:rsid w:val="4A2E1BD1"/>
    <w:rsid w:val="4A38465E"/>
    <w:rsid w:val="4A913C61"/>
    <w:rsid w:val="4A9222C3"/>
    <w:rsid w:val="4AA5332D"/>
    <w:rsid w:val="4AAA1987"/>
    <w:rsid w:val="4AAF3A5C"/>
    <w:rsid w:val="4ADB0540"/>
    <w:rsid w:val="4ADC73BB"/>
    <w:rsid w:val="4AEA6060"/>
    <w:rsid w:val="4B4A7622"/>
    <w:rsid w:val="4B75490D"/>
    <w:rsid w:val="4BA730DB"/>
    <w:rsid w:val="4BD03357"/>
    <w:rsid w:val="4BD53CDA"/>
    <w:rsid w:val="4BDD4B82"/>
    <w:rsid w:val="4BF207F6"/>
    <w:rsid w:val="4BF91F65"/>
    <w:rsid w:val="4BFE6267"/>
    <w:rsid w:val="4C0A49E4"/>
    <w:rsid w:val="4C510BCA"/>
    <w:rsid w:val="4C593B7F"/>
    <w:rsid w:val="4C8A5D77"/>
    <w:rsid w:val="4CA57F9D"/>
    <w:rsid w:val="4CE92A73"/>
    <w:rsid w:val="4D051DBB"/>
    <w:rsid w:val="4D252D21"/>
    <w:rsid w:val="4D2A3925"/>
    <w:rsid w:val="4D5A475E"/>
    <w:rsid w:val="4D5D33E5"/>
    <w:rsid w:val="4D92171C"/>
    <w:rsid w:val="4DCC63E2"/>
    <w:rsid w:val="4DCD2050"/>
    <w:rsid w:val="4DFA3BEF"/>
    <w:rsid w:val="4E0B6896"/>
    <w:rsid w:val="4E1F150A"/>
    <w:rsid w:val="4E2F4EFA"/>
    <w:rsid w:val="4E347353"/>
    <w:rsid w:val="4E4428F8"/>
    <w:rsid w:val="4E69005C"/>
    <w:rsid w:val="4E7630B5"/>
    <w:rsid w:val="4E8F1192"/>
    <w:rsid w:val="4EB66AB3"/>
    <w:rsid w:val="4EEE297B"/>
    <w:rsid w:val="4EF6465B"/>
    <w:rsid w:val="4F025EB9"/>
    <w:rsid w:val="4F39025C"/>
    <w:rsid w:val="4F641352"/>
    <w:rsid w:val="4F8A461F"/>
    <w:rsid w:val="4F8E6612"/>
    <w:rsid w:val="4F9C746E"/>
    <w:rsid w:val="4FC43323"/>
    <w:rsid w:val="4FD80B7D"/>
    <w:rsid w:val="4FF203A3"/>
    <w:rsid w:val="4FF45F1F"/>
    <w:rsid w:val="4FFC6379"/>
    <w:rsid w:val="500A6E88"/>
    <w:rsid w:val="502E579B"/>
    <w:rsid w:val="50317654"/>
    <w:rsid w:val="50393285"/>
    <w:rsid w:val="50795EBC"/>
    <w:rsid w:val="508A4BAA"/>
    <w:rsid w:val="509111AF"/>
    <w:rsid w:val="509F7EC4"/>
    <w:rsid w:val="50AA0F4C"/>
    <w:rsid w:val="50B20155"/>
    <w:rsid w:val="50C07D2B"/>
    <w:rsid w:val="50D33417"/>
    <w:rsid w:val="5126542F"/>
    <w:rsid w:val="51384601"/>
    <w:rsid w:val="515D67C0"/>
    <w:rsid w:val="51870AB3"/>
    <w:rsid w:val="519D57DC"/>
    <w:rsid w:val="51DF2833"/>
    <w:rsid w:val="520617FD"/>
    <w:rsid w:val="521A570B"/>
    <w:rsid w:val="52233F63"/>
    <w:rsid w:val="5225608A"/>
    <w:rsid w:val="52315E90"/>
    <w:rsid w:val="52444DD1"/>
    <w:rsid w:val="52810767"/>
    <w:rsid w:val="52820B53"/>
    <w:rsid w:val="528C7585"/>
    <w:rsid w:val="530E1E69"/>
    <w:rsid w:val="53272A62"/>
    <w:rsid w:val="53622AB5"/>
    <w:rsid w:val="536B0A83"/>
    <w:rsid w:val="53840791"/>
    <w:rsid w:val="53A56FC8"/>
    <w:rsid w:val="53AC586C"/>
    <w:rsid w:val="53B06DFB"/>
    <w:rsid w:val="53DC46AA"/>
    <w:rsid w:val="54283BA7"/>
    <w:rsid w:val="543451BC"/>
    <w:rsid w:val="543907B7"/>
    <w:rsid w:val="543F573A"/>
    <w:rsid w:val="544177B4"/>
    <w:rsid w:val="5442307C"/>
    <w:rsid w:val="545A6C37"/>
    <w:rsid w:val="546D5543"/>
    <w:rsid w:val="54973E63"/>
    <w:rsid w:val="54B000B5"/>
    <w:rsid w:val="54B51739"/>
    <w:rsid w:val="54E05F65"/>
    <w:rsid w:val="55056E84"/>
    <w:rsid w:val="554E2F9E"/>
    <w:rsid w:val="55502006"/>
    <w:rsid w:val="55594C1E"/>
    <w:rsid w:val="55633225"/>
    <w:rsid w:val="55663DFC"/>
    <w:rsid w:val="55677622"/>
    <w:rsid w:val="558A0F39"/>
    <w:rsid w:val="55913CA7"/>
    <w:rsid w:val="559660E3"/>
    <w:rsid w:val="55C30C8E"/>
    <w:rsid w:val="55CD37D7"/>
    <w:rsid w:val="55D82E77"/>
    <w:rsid w:val="55F9023B"/>
    <w:rsid w:val="56101070"/>
    <w:rsid w:val="561D5C52"/>
    <w:rsid w:val="565D5FBE"/>
    <w:rsid w:val="5672012C"/>
    <w:rsid w:val="568A3310"/>
    <w:rsid w:val="568D446F"/>
    <w:rsid w:val="56C90DDF"/>
    <w:rsid w:val="56D63107"/>
    <w:rsid w:val="573D5780"/>
    <w:rsid w:val="575B1121"/>
    <w:rsid w:val="57637240"/>
    <w:rsid w:val="5781534E"/>
    <w:rsid w:val="57C93994"/>
    <w:rsid w:val="57D21468"/>
    <w:rsid w:val="57D83729"/>
    <w:rsid w:val="57DB0142"/>
    <w:rsid w:val="57FA3EE5"/>
    <w:rsid w:val="580E1436"/>
    <w:rsid w:val="58146F81"/>
    <w:rsid w:val="58166307"/>
    <w:rsid w:val="585618C1"/>
    <w:rsid w:val="58645E87"/>
    <w:rsid w:val="586C097E"/>
    <w:rsid w:val="588275EB"/>
    <w:rsid w:val="588767B3"/>
    <w:rsid w:val="58984644"/>
    <w:rsid w:val="58CA6997"/>
    <w:rsid w:val="58CE24C2"/>
    <w:rsid w:val="58E47690"/>
    <w:rsid w:val="58EA46C7"/>
    <w:rsid w:val="590A0449"/>
    <w:rsid w:val="5910752F"/>
    <w:rsid w:val="591304B3"/>
    <w:rsid w:val="59132B2A"/>
    <w:rsid w:val="5928125B"/>
    <w:rsid w:val="592B22D7"/>
    <w:rsid w:val="595B6E1E"/>
    <w:rsid w:val="59676935"/>
    <w:rsid w:val="597B6A42"/>
    <w:rsid w:val="598461CF"/>
    <w:rsid w:val="598739EC"/>
    <w:rsid w:val="59C96E64"/>
    <w:rsid w:val="59D13B4D"/>
    <w:rsid w:val="59ED2236"/>
    <w:rsid w:val="59F6207C"/>
    <w:rsid w:val="5A015775"/>
    <w:rsid w:val="5A074564"/>
    <w:rsid w:val="5A1813E1"/>
    <w:rsid w:val="5A1D3DFE"/>
    <w:rsid w:val="5A3F4B49"/>
    <w:rsid w:val="5A5069C3"/>
    <w:rsid w:val="5A5A0B0C"/>
    <w:rsid w:val="5A5A6CC1"/>
    <w:rsid w:val="5A995A95"/>
    <w:rsid w:val="5A9A0D41"/>
    <w:rsid w:val="5AB05956"/>
    <w:rsid w:val="5ABB731A"/>
    <w:rsid w:val="5AC24903"/>
    <w:rsid w:val="5ACB4071"/>
    <w:rsid w:val="5ACC751E"/>
    <w:rsid w:val="5B013186"/>
    <w:rsid w:val="5B1B3A27"/>
    <w:rsid w:val="5B1C630A"/>
    <w:rsid w:val="5B3F52F5"/>
    <w:rsid w:val="5B435748"/>
    <w:rsid w:val="5B4832EA"/>
    <w:rsid w:val="5B615012"/>
    <w:rsid w:val="5B6339F0"/>
    <w:rsid w:val="5B692B86"/>
    <w:rsid w:val="5B6D6228"/>
    <w:rsid w:val="5B980F22"/>
    <w:rsid w:val="5B9B75C0"/>
    <w:rsid w:val="5BB80E89"/>
    <w:rsid w:val="5BC73D70"/>
    <w:rsid w:val="5BFF0753"/>
    <w:rsid w:val="5C700FBC"/>
    <w:rsid w:val="5C7E3D4F"/>
    <w:rsid w:val="5C9245C9"/>
    <w:rsid w:val="5CC8245F"/>
    <w:rsid w:val="5CD00018"/>
    <w:rsid w:val="5CD96485"/>
    <w:rsid w:val="5CF6600B"/>
    <w:rsid w:val="5D12607C"/>
    <w:rsid w:val="5D237B73"/>
    <w:rsid w:val="5D430DBF"/>
    <w:rsid w:val="5D483B9C"/>
    <w:rsid w:val="5D6F38AA"/>
    <w:rsid w:val="5D752B6D"/>
    <w:rsid w:val="5D761494"/>
    <w:rsid w:val="5D8D7008"/>
    <w:rsid w:val="5D9B1570"/>
    <w:rsid w:val="5D9C2625"/>
    <w:rsid w:val="5DD04E0C"/>
    <w:rsid w:val="5DE1266C"/>
    <w:rsid w:val="5DF31934"/>
    <w:rsid w:val="5E08082D"/>
    <w:rsid w:val="5E2243C6"/>
    <w:rsid w:val="5E416B5F"/>
    <w:rsid w:val="5E5A156E"/>
    <w:rsid w:val="5E874CF0"/>
    <w:rsid w:val="5E890021"/>
    <w:rsid w:val="5EDD7D1B"/>
    <w:rsid w:val="5EDE3956"/>
    <w:rsid w:val="5EF51DC6"/>
    <w:rsid w:val="5F2338F7"/>
    <w:rsid w:val="5F3062DF"/>
    <w:rsid w:val="5F373C9D"/>
    <w:rsid w:val="5F5C005D"/>
    <w:rsid w:val="5F8623A3"/>
    <w:rsid w:val="5FA148BD"/>
    <w:rsid w:val="5FA50D13"/>
    <w:rsid w:val="5FA906BC"/>
    <w:rsid w:val="5FBE3F60"/>
    <w:rsid w:val="5FEF4518"/>
    <w:rsid w:val="60200102"/>
    <w:rsid w:val="60443BFE"/>
    <w:rsid w:val="60566472"/>
    <w:rsid w:val="605C3BF2"/>
    <w:rsid w:val="60804C93"/>
    <w:rsid w:val="60874F01"/>
    <w:rsid w:val="60A231EC"/>
    <w:rsid w:val="60AB60D4"/>
    <w:rsid w:val="60AC0895"/>
    <w:rsid w:val="60CB28B5"/>
    <w:rsid w:val="60E16518"/>
    <w:rsid w:val="60E243BF"/>
    <w:rsid w:val="613233CF"/>
    <w:rsid w:val="614562E1"/>
    <w:rsid w:val="616F363E"/>
    <w:rsid w:val="617C433A"/>
    <w:rsid w:val="61D73B96"/>
    <w:rsid w:val="61F60BE9"/>
    <w:rsid w:val="61F63E95"/>
    <w:rsid w:val="623E733C"/>
    <w:rsid w:val="62895653"/>
    <w:rsid w:val="6299281D"/>
    <w:rsid w:val="62A173E0"/>
    <w:rsid w:val="62BA0AC0"/>
    <w:rsid w:val="62F93341"/>
    <w:rsid w:val="63542683"/>
    <w:rsid w:val="63616BF7"/>
    <w:rsid w:val="63676457"/>
    <w:rsid w:val="636B51E1"/>
    <w:rsid w:val="63A82057"/>
    <w:rsid w:val="63CC436E"/>
    <w:rsid w:val="63E279FF"/>
    <w:rsid w:val="63EE6769"/>
    <w:rsid w:val="63FF035D"/>
    <w:rsid w:val="64031CDF"/>
    <w:rsid w:val="640F3CBC"/>
    <w:rsid w:val="6418282E"/>
    <w:rsid w:val="64656F97"/>
    <w:rsid w:val="64790728"/>
    <w:rsid w:val="64B91ABD"/>
    <w:rsid w:val="653752C2"/>
    <w:rsid w:val="654C2DF3"/>
    <w:rsid w:val="656F6ABE"/>
    <w:rsid w:val="65777AE0"/>
    <w:rsid w:val="65AB66C0"/>
    <w:rsid w:val="65DE3F7A"/>
    <w:rsid w:val="65F655DD"/>
    <w:rsid w:val="662955EC"/>
    <w:rsid w:val="663456F7"/>
    <w:rsid w:val="6638402D"/>
    <w:rsid w:val="66564CFB"/>
    <w:rsid w:val="66912783"/>
    <w:rsid w:val="66933663"/>
    <w:rsid w:val="66CE20C4"/>
    <w:rsid w:val="66E434FA"/>
    <w:rsid w:val="670E0562"/>
    <w:rsid w:val="671B66C4"/>
    <w:rsid w:val="672E3114"/>
    <w:rsid w:val="6735627C"/>
    <w:rsid w:val="675E24A3"/>
    <w:rsid w:val="678B0648"/>
    <w:rsid w:val="67DE60B7"/>
    <w:rsid w:val="68150C76"/>
    <w:rsid w:val="68284269"/>
    <w:rsid w:val="683A708A"/>
    <w:rsid w:val="68525518"/>
    <w:rsid w:val="688D6550"/>
    <w:rsid w:val="689117D3"/>
    <w:rsid w:val="689B52AA"/>
    <w:rsid w:val="68A0089A"/>
    <w:rsid w:val="68A47CD0"/>
    <w:rsid w:val="68C462F1"/>
    <w:rsid w:val="68DE2330"/>
    <w:rsid w:val="691C716C"/>
    <w:rsid w:val="691D7C84"/>
    <w:rsid w:val="69222E10"/>
    <w:rsid w:val="6968517D"/>
    <w:rsid w:val="696B017A"/>
    <w:rsid w:val="696B5954"/>
    <w:rsid w:val="6970243B"/>
    <w:rsid w:val="697243C8"/>
    <w:rsid w:val="697F4623"/>
    <w:rsid w:val="69DE1E3D"/>
    <w:rsid w:val="69E625A1"/>
    <w:rsid w:val="69E939DA"/>
    <w:rsid w:val="6A053E5E"/>
    <w:rsid w:val="6A0935A9"/>
    <w:rsid w:val="6A344153"/>
    <w:rsid w:val="6A3A711A"/>
    <w:rsid w:val="6A4E7872"/>
    <w:rsid w:val="6A9F48FD"/>
    <w:rsid w:val="6ABB7E19"/>
    <w:rsid w:val="6ABF5A6C"/>
    <w:rsid w:val="6AD12454"/>
    <w:rsid w:val="6AE84100"/>
    <w:rsid w:val="6B2737D3"/>
    <w:rsid w:val="6B3E76AB"/>
    <w:rsid w:val="6B4C7F05"/>
    <w:rsid w:val="6B681DC7"/>
    <w:rsid w:val="6B845027"/>
    <w:rsid w:val="6BA275C2"/>
    <w:rsid w:val="6BB83D76"/>
    <w:rsid w:val="6BCC206D"/>
    <w:rsid w:val="6BD659A4"/>
    <w:rsid w:val="6BFE40BD"/>
    <w:rsid w:val="6C122A34"/>
    <w:rsid w:val="6C1C6E66"/>
    <w:rsid w:val="6C416F69"/>
    <w:rsid w:val="6C5A3844"/>
    <w:rsid w:val="6C6C7D4B"/>
    <w:rsid w:val="6C7A69C8"/>
    <w:rsid w:val="6C861C34"/>
    <w:rsid w:val="6C936E65"/>
    <w:rsid w:val="6CB24229"/>
    <w:rsid w:val="6CB467A2"/>
    <w:rsid w:val="6CBD74AF"/>
    <w:rsid w:val="6CEB5F3B"/>
    <w:rsid w:val="6D11784F"/>
    <w:rsid w:val="6D4035DF"/>
    <w:rsid w:val="6D4E2668"/>
    <w:rsid w:val="6D9A64AB"/>
    <w:rsid w:val="6E2773BF"/>
    <w:rsid w:val="6E8124BC"/>
    <w:rsid w:val="6E821B20"/>
    <w:rsid w:val="6EC2155E"/>
    <w:rsid w:val="6EDF4571"/>
    <w:rsid w:val="6F10027E"/>
    <w:rsid w:val="6F2A5319"/>
    <w:rsid w:val="6F524050"/>
    <w:rsid w:val="6F84168D"/>
    <w:rsid w:val="6FA73FBA"/>
    <w:rsid w:val="6FED7BA0"/>
    <w:rsid w:val="700B7EB6"/>
    <w:rsid w:val="702D5CD1"/>
    <w:rsid w:val="706D37B6"/>
    <w:rsid w:val="708D25A3"/>
    <w:rsid w:val="70B52E03"/>
    <w:rsid w:val="70BB70ED"/>
    <w:rsid w:val="70C26656"/>
    <w:rsid w:val="70C71293"/>
    <w:rsid w:val="70D34BAC"/>
    <w:rsid w:val="70ED2601"/>
    <w:rsid w:val="70F67ED8"/>
    <w:rsid w:val="71216A10"/>
    <w:rsid w:val="71651186"/>
    <w:rsid w:val="71716669"/>
    <w:rsid w:val="719929A4"/>
    <w:rsid w:val="71DB6BA4"/>
    <w:rsid w:val="71F1785C"/>
    <w:rsid w:val="722D324B"/>
    <w:rsid w:val="72850A27"/>
    <w:rsid w:val="72B357C5"/>
    <w:rsid w:val="73194CB7"/>
    <w:rsid w:val="731F25E1"/>
    <w:rsid w:val="734C3763"/>
    <w:rsid w:val="734E70A2"/>
    <w:rsid w:val="73D83EF4"/>
    <w:rsid w:val="741602AF"/>
    <w:rsid w:val="74347786"/>
    <w:rsid w:val="74470C8A"/>
    <w:rsid w:val="745F3497"/>
    <w:rsid w:val="747111EE"/>
    <w:rsid w:val="74722C9A"/>
    <w:rsid w:val="748944CE"/>
    <w:rsid w:val="74AC7FA5"/>
    <w:rsid w:val="74B65178"/>
    <w:rsid w:val="74C81A8D"/>
    <w:rsid w:val="74FF2584"/>
    <w:rsid w:val="75015910"/>
    <w:rsid w:val="75157CC2"/>
    <w:rsid w:val="752B3702"/>
    <w:rsid w:val="75483386"/>
    <w:rsid w:val="75526C4A"/>
    <w:rsid w:val="75754E50"/>
    <w:rsid w:val="759C2F7C"/>
    <w:rsid w:val="75AF3744"/>
    <w:rsid w:val="75BF21B8"/>
    <w:rsid w:val="75C75C9A"/>
    <w:rsid w:val="75D103EE"/>
    <w:rsid w:val="75D81664"/>
    <w:rsid w:val="75F61BD9"/>
    <w:rsid w:val="75FF0A4C"/>
    <w:rsid w:val="7605313C"/>
    <w:rsid w:val="761A47EA"/>
    <w:rsid w:val="761A519B"/>
    <w:rsid w:val="76564134"/>
    <w:rsid w:val="76645648"/>
    <w:rsid w:val="769073AD"/>
    <w:rsid w:val="769E4562"/>
    <w:rsid w:val="76A31E3A"/>
    <w:rsid w:val="76A7504D"/>
    <w:rsid w:val="76D82F98"/>
    <w:rsid w:val="76FB4FAD"/>
    <w:rsid w:val="773F5BB1"/>
    <w:rsid w:val="77512ED0"/>
    <w:rsid w:val="77575C6C"/>
    <w:rsid w:val="775B1606"/>
    <w:rsid w:val="77610D5D"/>
    <w:rsid w:val="77641C16"/>
    <w:rsid w:val="77734CC5"/>
    <w:rsid w:val="779F23EE"/>
    <w:rsid w:val="77A35E1E"/>
    <w:rsid w:val="77B638DA"/>
    <w:rsid w:val="77DE0F81"/>
    <w:rsid w:val="77DE3D95"/>
    <w:rsid w:val="77FC2F57"/>
    <w:rsid w:val="780037E6"/>
    <w:rsid w:val="782A3F49"/>
    <w:rsid w:val="78AC1D9D"/>
    <w:rsid w:val="78C53449"/>
    <w:rsid w:val="7926581B"/>
    <w:rsid w:val="792C00F0"/>
    <w:rsid w:val="794B5D9E"/>
    <w:rsid w:val="79831ED5"/>
    <w:rsid w:val="798844C4"/>
    <w:rsid w:val="79933C53"/>
    <w:rsid w:val="79AB738A"/>
    <w:rsid w:val="79C066CF"/>
    <w:rsid w:val="79DD144C"/>
    <w:rsid w:val="7A2405F1"/>
    <w:rsid w:val="7A476A11"/>
    <w:rsid w:val="7A760656"/>
    <w:rsid w:val="7AA06900"/>
    <w:rsid w:val="7AD27E9D"/>
    <w:rsid w:val="7AF875B9"/>
    <w:rsid w:val="7B48676A"/>
    <w:rsid w:val="7B6A44CF"/>
    <w:rsid w:val="7B6E187E"/>
    <w:rsid w:val="7B7C7EA8"/>
    <w:rsid w:val="7BA47D39"/>
    <w:rsid w:val="7BC846AE"/>
    <w:rsid w:val="7BDC3BE6"/>
    <w:rsid w:val="7BE37F78"/>
    <w:rsid w:val="7BF86853"/>
    <w:rsid w:val="7BFF337A"/>
    <w:rsid w:val="7C4539E8"/>
    <w:rsid w:val="7C730CCC"/>
    <w:rsid w:val="7C740E72"/>
    <w:rsid w:val="7C80657A"/>
    <w:rsid w:val="7C9C658A"/>
    <w:rsid w:val="7CA642D9"/>
    <w:rsid w:val="7CA8619F"/>
    <w:rsid w:val="7D1A3ED7"/>
    <w:rsid w:val="7D1D15C1"/>
    <w:rsid w:val="7D9F4904"/>
    <w:rsid w:val="7DE61EF3"/>
    <w:rsid w:val="7E1121E1"/>
    <w:rsid w:val="7E2E00BC"/>
    <w:rsid w:val="7E4C5E94"/>
    <w:rsid w:val="7E856A77"/>
    <w:rsid w:val="7E911D88"/>
    <w:rsid w:val="7E935E58"/>
    <w:rsid w:val="7E97509F"/>
    <w:rsid w:val="7EB525A7"/>
    <w:rsid w:val="7F5A30FD"/>
    <w:rsid w:val="7F7D478D"/>
    <w:rsid w:val="7F80048F"/>
    <w:rsid w:val="7F922AA4"/>
    <w:rsid w:val="7F9C6F18"/>
    <w:rsid w:val="7FE770E8"/>
    <w:rsid w:val="7FEB540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5"/>
    <w:qFormat/>
    <w:uiPriority w:val="0"/>
    <w:pPr>
      <w:keepNext/>
      <w:keepLines/>
      <w:spacing w:before="340" w:beforeLines="0" w:after="330" w:afterLines="0" w:line="578" w:lineRule="auto"/>
      <w:outlineLvl w:val="0"/>
    </w:pPr>
    <w:rPr>
      <w:b/>
      <w:bCs/>
      <w:kern w:val="44"/>
      <w:sz w:val="44"/>
      <w:szCs w:val="44"/>
    </w:rPr>
  </w:style>
  <w:style w:type="paragraph" w:styleId="3">
    <w:name w:val="heading 2"/>
    <w:basedOn w:val="1"/>
    <w:next w:val="1"/>
    <w:link w:val="46"/>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47"/>
    <w:qFormat/>
    <w:uiPriority w:val="0"/>
    <w:pPr>
      <w:keepNext/>
      <w:keepLines/>
      <w:spacing w:before="260" w:after="260" w:line="416" w:lineRule="auto"/>
      <w:outlineLvl w:val="2"/>
    </w:pPr>
    <w:rPr>
      <w:b/>
      <w:bCs/>
      <w:sz w:val="32"/>
      <w:szCs w:val="32"/>
    </w:rPr>
  </w:style>
  <w:style w:type="character" w:default="1" w:styleId="30">
    <w:name w:val="Default Paragraph Font"/>
    <w:semiHidden/>
    <w:qFormat/>
    <w:uiPriority w:val="0"/>
  </w:style>
  <w:style w:type="table" w:default="1" w:styleId="28">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widowControl/>
      <w:ind w:firstLine="420"/>
      <w:jc w:val="left"/>
    </w:pPr>
    <w:rPr>
      <w:kern w:val="0"/>
      <w:sz w:val="20"/>
      <w:szCs w:val="20"/>
    </w:rPr>
  </w:style>
  <w:style w:type="paragraph" w:styleId="6">
    <w:name w:val="List Bullet"/>
    <w:basedOn w:val="1"/>
    <w:qFormat/>
    <w:uiPriority w:val="0"/>
    <w:pPr>
      <w:numPr>
        <w:ilvl w:val="0"/>
        <w:numId w:val="1"/>
      </w:numPr>
    </w:pPr>
  </w:style>
  <w:style w:type="paragraph" w:styleId="7">
    <w:name w:val="annotation text"/>
    <w:basedOn w:val="1"/>
    <w:link w:val="48"/>
    <w:qFormat/>
    <w:uiPriority w:val="0"/>
    <w:pPr>
      <w:jc w:val="left"/>
    </w:pPr>
  </w:style>
  <w:style w:type="paragraph" w:styleId="8">
    <w:name w:val="Body Text 3"/>
    <w:basedOn w:val="1"/>
    <w:link w:val="49"/>
    <w:qFormat/>
    <w:uiPriority w:val="0"/>
    <w:pPr>
      <w:spacing w:after="120"/>
    </w:pPr>
    <w:rPr>
      <w:sz w:val="16"/>
      <w:szCs w:val="16"/>
    </w:rPr>
  </w:style>
  <w:style w:type="paragraph" w:styleId="9">
    <w:name w:val="Body Text"/>
    <w:basedOn w:val="1"/>
    <w:next w:val="1"/>
    <w:link w:val="50"/>
    <w:qFormat/>
    <w:uiPriority w:val="0"/>
    <w:pPr>
      <w:spacing w:after="120" w:afterLines="0"/>
    </w:pPr>
  </w:style>
  <w:style w:type="paragraph" w:styleId="10">
    <w:name w:val="Body Text Indent"/>
    <w:basedOn w:val="1"/>
    <w:next w:val="11"/>
    <w:link w:val="51"/>
    <w:qFormat/>
    <w:uiPriority w:val="0"/>
    <w:pPr>
      <w:spacing w:line="640" w:lineRule="exact"/>
      <w:ind w:firstLine="480" w:firstLineChars="200"/>
    </w:pPr>
    <w:rPr>
      <w:sz w:val="24"/>
    </w:rPr>
  </w:style>
  <w:style w:type="paragraph" w:styleId="11">
    <w:name w:val="envelope return"/>
    <w:basedOn w:val="1"/>
    <w:unhideWhenUsed/>
    <w:qFormat/>
    <w:uiPriority w:val="99"/>
    <w:pPr>
      <w:snapToGrid w:val="0"/>
    </w:pPr>
    <w:rPr>
      <w:rFonts w:ascii="等线 Light" w:hAnsi="等线 Light" w:eastAsia="等线 Light" w:cs="Times New Roman"/>
    </w:rPr>
  </w:style>
  <w:style w:type="paragraph" w:styleId="12">
    <w:name w:val="toc 3"/>
    <w:basedOn w:val="1"/>
    <w:next w:val="1"/>
    <w:qFormat/>
    <w:uiPriority w:val="39"/>
    <w:pPr>
      <w:ind w:left="840" w:leftChars="400"/>
    </w:pPr>
  </w:style>
  <w:style w:type="paragraph" w:styleId="13">
    <w:name w:val="Plain Text"/>
    <w:basedOn w:val="1"/>
    <w:qFormat/>
    <w:uiPriority w:val="0"/>
    <w:rPr>
      <w:rFonts w:ascii="宋体" w:hAnsi="Courier New"/>
      <w:szCs w:val="20"/>
    </w:rPr>
  </w:style>
  <w:style w:type="paragraph" w:styleId="14">
    <w:name w:val="Date"/>
    <w:basedOn w:val="1"/>
    <w:next w:val="1"/>
    <w:qFormat/>
    <w:uiPriority w:val="0"/>
    <w:pPr>
      <w:ind w:left="100" w:leftChars="2500"/>
    </w:pPr>
  </w:style>
  <w:style w:type="paragraph" w:styleId="15">
    <w:name w:val="Body Text Indent 2"/>
    <w:basedOn w:val="1"/>
    <w:qFormat/>
    <w:uiPriority w:val="0"/>
    <w:pPr>
      <w:spacing w:after="120" w:afterLines="0" w:line="480" w:lineRule="auto"/>
      <w:ind w:left="420" w:leftChars="200"/>
    </w:pPr>
  </w:style>
  <w:style w:type="paragraph" w:styleId="16">
    <w:name w:val="Balloon Text"/>
    <w:basedOn w:val="1"/>
    <w:semiHidden/>
    <w:qFormat/>
    <w:uiPriority w:val="0"/>
    <w:rPr>
      <w:sz w:val="18"/>
      <w:szCs w:val="18"/>
    </w:rPr>
  </w:style>
  <w:style w:type="paragraph" w:styleId="17">
    <w:name w:val="footer"/>
    <w:basedOn w:val="1"/>
    <w:link w:val="52"/>
    <w:qFormat/>
    <w:uiPriority w:val="0"/>
    <w:pPr>
      <w:tabs>
        <w:tab w:val="center" w:pos="4153"/>
        <w:tab w:val="right" w:pos="8306"/>
      </w:tabs>
      <w:snapToGrid w:val="0"/>
      <w:jc w:val="left"/>
    </w:pPr>
    <w:rPr>
      <w:sz w:val="18"/>
      <w:szCs w:val="18"/>
    </w:rPr>
  </w:style>
  <w:style w:type="paragraph" w:styleId="18">
    <w:name w:val="header"/>
    <w:basedOn w:val="1"/>
    <w:link w:val="53"/>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39"/>
  </w:style>
  <w:style w:type="paragraph" w:styleId="20">
    <w:name w:val="Body Text Indent 3"/>
    <w:basedOn w:val="1"/>
    <w:qFormat/>
    <w:uiPriority w:val="0"/>
    <w:pPr>
      <w:spacing w:after="120"/>
      <w:ind w:left="420" w:leftChars="200"/>
    </w:pPr>
    <w:rPr>
      <w:sz w:val="16"/>
      <w:szCs w:val="16"/>
    </w:rPr>
  </w:style>
  <w:style w:type="paragraph" w:styleId="21">
    <w:name w:val="toc 2"/>
    <w:basedOn w:val="1"/>
    <w:next w:val="1"/>
    <w:qFormat/>
    <w:uiPriority w:val="39"/>
    <w:pPr>
      <w:ind w:left="420" w:leftChars="200"/>
    </w:pPr>
  </w:style>
  <w:style w:type="paragraph" w:styleId="22">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23">
    <w:name w:val="Normal (Web)"/>
    <w:basedOn w:val="1"/>
    <w:qFormat/>
    <w:uiPriority w:val="99"/>
    <w:pPr>
      <w:widowControl/>
      <w:spacing w:before="100" w:beforeLines="0" w:beforeAutospacing="1" w:after="100" w:afterLines="0" w:afterAutospacing="1"/>
      <w:jc w:val="left"/>
    </w:pPr>
    <w:rPr>
      <w:rFonts w:ascii="宋体" w:hAnsi="宋体"/>
      <w:kern w:val="0"/>
      <w:sz w:val="24"/>
    </w:rPr>
  </w:style>
  <w:style w:type="paragraph" w:styleId="24">
    <w:name w:val="Title"/>
    <w:basedOn w:val="1"/>
    <w:next w:val="1"/>
    <w:link w:val="54"/>
    <w:qFormat/>
    <w:uiPriority w:val="0"/>
    <w:pPr>
      <w:spacing w:before="240" w:after="60"/>
      <w:jc w:val="center"/>
      <w:outlineLvl w:val="0"/>
    </w:pPr>
    <w:rPr>
      <w:rFonts w:ascii="Cambria" w:hAnsi="Cambria" w:eastAsia="仿宋_GB2312"/>
      <w:bCs/>
      <w:sz w:val="32"/>
      <w:szCs w:val="32"/>
    </w:rPr>
  </w:style>
  <w:style w:type="paragraph" w:styleId="25">
    <w:name w:val="annotation subject"/>
    <w:basedOn w:val="7"/>
    <w:next w:val="7"/>
    <w:link w:val="55"/>
    <w:qFormat/>
    <w:uiPriority w:val="0"/>
    <w:rPr>
      <w:b/>
      <w:bCs/>
    </w:rPr>
  </w:style>
  <w:style w:type="paragraph" w:styleId="26">
    <w:name w:val="Body Text First Indent"/>
    <w:basedOn w:val="9"/>
    <w:link w:val="56"/>
    <w:qFormat/>
    <w:uiPriority w:val="0"/>
    <w:pPr>
      <w:ind w:firstLine="420" w:firstLineChars="100"/>
    </w:pPr>
    <w:rPr>
      <w:b/>
      <w:bCs/>
    </w:rPr>
  </w:style>
  <w:style w:type="paragraph" w:styleId="27">
    <w:name w:val="Body Text First Indent 2"/>
    <w:basedOn w:val="10"/>
    <w:next w:val="1"/>
    <w:qFormat/>
    <w:uiPriority w:val="0"/>
    <w:pPr>
      <w:ind w:firstLine="420" w:firstLineChars="200"/>
    </w:p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style>
  <w:style w:type="character" w:styleId="32">
    <w:name w:val="page number"/>
    <w:basedOn w:val="30"/>
    <w:qFormat/>
    <w:uiPriority w:val="0"/>
  </w:style>
  <w:style w:type="character" w:styleId="33">
    <w:name w:val="FollowedHyperlink"/>
    <w:basedOn w:val="30"/>
    <w:qFormat/>
    <w:uiPriority w:val="0"/>
    <w:rPr>
      <w:color w:val="800080"/>
      <w:u w:val="none"/>
    </w:rPr>
  </w:style>
  <w:style w:type="character" w:styleId="34">
    <w:name w:val="Emphasis"/>
    <w:qFormat/>
    <w:uiPriority w:val="0"/>
  </w:style>
  <w:style w:type="character" w:styleId="35">
    <w:name w:val="HTML Definition"/>
    <w:qFormat/>
    <w:uiPriority w:val="0"/>
  </w:style>
  <w:style w:type="character" w:styleId="36">
    <w:name w:val="HTML Typewriter"/>
    <w:basedOn w:val="30"/>
    <w:qFormat/>
    <w:uiPriority w:val="0"/>
    <w:rPr>
      <w:rFonts w:ascii="monospace" w:hAnsi="monospace" w:eastAsia="monospace" w:cs="monospace"/>
      <w:sz w:val="20"/>
    </w:rPr>
  </w:style>
  <w:style w:type="character" w:styleId="37">
    <w:name w:val="HTML Acronym"/>
    <w:basedOn w:val="30"/>
    <w:qFormat/>
    <w:uiPriority w:val="0"/>
  </w:style>
  <w:style w:type="character" w:styleId="38">
    <w:name w:val="HTML Variable"/>
    <w:qFormat/>
    <w:uiPriority w:val="0"/>
  </w:style>
  <w:style w:type="character" w:styleId="39">
    <w:name w:val="Hyperlink"/>
    <w:basedOn w:val="30"/>
    <w:qFormat/>
    <w:uiPriority w:val="99"/>
    <w:rPr>
      <w:color w:val="0000FF"/>
      <w:u w:val="none"/>
    </w:rPr>
  </w:style>
  <w:style w:type="character" w:styleId="40">
    <w:name w:val="HTML Code"/>
    <w:qFormat/>
    <w:uiPriority w:val="0"/>
    <w:rPr>
      <w:rFonts w:ascii="Courier New" w:hAnsi="Courier New"/>
      <w:sz w:val="20"/>
    </w:rPr>
  </w:style>
  <w:style w:type="character" w:styleId="41">
    <w:name w:val="annotation reference"/>
    <w:qFormat/>
    <w:uiPriority w:val="99"/>
    <w:rPr>
      <w:sz w:val="21"/>
      <w:szCs w:val="21"/>
    </w:rPr>
  </w:style>
  <w:style w:type="character" w:styleId="42">
    <w:name w:val="HTML Cite"/>
    <w:qFormat/>
    <w:uiPriority w:val="0"/>
  </w:style>
  <w:style w:type="character" w:styleId="43">
    <w:name w:val="HTML Keyboard"/>
    <w:basedOn w:val="30"/>
    <w:qFormat/>
    <w:uiPriority w:val="0"/>
    <w:rPr>
      <w:rFonts w:hint="default" w:ascii="monospace" w:hAnsi="monospace" w:eastAsia="monospace" w:cs="monospace"/>
      <w:sz w:val="20"/>
    </w:rPr>
  </w:style>
  <w:style w:type="character" w:styleId="44">
    <w:name w:val="HTML Sample"/>
    <w:basedOn w:val="30"/>
    <w:qFormat/>
    <w:uiPriority w:val="0"/>
    <w:rPr>
      <w:rFonts w:hint="default" w:ascii="monospace" w:hAnsi="monospace" w:eastAsia="monospace" w:cs="monospace"/>
    </w:rPr>
  </w:style>
  <w:style w:type="character" w:customStyle="1" w:styleId="45">
    <w:name w:val="标题 1 Char"/>
    <w:link w:val="2"/>
    <w:qFormat/>
    <w:uiPriority w:val="0"/>
    <w:rPr>
      <w:b/>
      <w:bCs/>
      <w:kern w:val="44"/>
      <w:sz w:val="44"/>
      <w:szCs w:val="44"/>
    </w:rPr>
  </w:style>
  <w:style w:type="character" w:customStyle="1" w:styleId="46">
    <w:name w:val="标题 2 Char"/>
    <w:link w:val="3"/>
    <w:qFormat/>
    <w:uiPriority w:val="0"/>
    <w:rPr>
      <w:rFonts w:ascii="Cambria" w:hAnsi="Cambria"/>
      <w:b/>
      <w:bCs/>
      <w:kern w:val="2"/>
      <w:sz w:val="32"/>
      <w:szCs w:val="32"/>
    </w:rPr>
  </w:style>
  <w:style w:type="character" w:customStyle="1" w:styleId="47">
    <w:name w:val="标题 3 Char"/>
    <w:link w:val="4"/>
    <w:qFormat/>
    <w:uiPriority w:val="0"/>
    <w:rPr>
      <w:b/>
      <w:bCs/>
      <w:kern w:val="2"/>
      <w:sz w:val="32"/>
      <w:szCs w:val="32"/>
    </w:rPr>
  </w:style>
  <w:style w:type="character" w:customStyle="1" w:styleId="48">
    <w:name w:val="批注文字 Char"/>
    <w:link w:val="7"/>
    <w:qFormat/>
    <w:uiPriority w:val="0"/>
    <w:rPr>
      <w:kern w:val="2"/>
      <w:sz w:val="21"/>
      <w:szCs w:val="24"/>
    </w:rPr>
  </w:style>
  <w:style w:type="character" w:customStyle="1" w:styleId="49">
    <w:name w:val="正文文本 3 Char"/>
    <w:link w:val="8"/>
    <w:qFormat/>
    <w:uiPriority w:val="0"/>
    <w:rPr>
      <w:kern w:val="2"/>
      <w:sz w:val="16"/>
      <w:szCs w:val="16"/>
    </w:rPr>
  </w:style>
  <w:style w:type="character" w:customStyle="1" w:styleId="50">
    <w:name w:val="正文文本 Char"/>
    <w:link w:val="9"/>
    <w:qFormat/>
    <w:uiPriority w:val="0"/>
    <w:rPr>
      <w:kern w:val="2"/>
      <w:sz w:val="21"/>
      <w:szCs w:val="24"/>
    </w:rPr>
  </w:style>
  <w:style w:type="character" w:customStyle="1" w:styleId="51">
    <w:name w:val="正文文本缩进 Char"/>
    <w:link w:val="10"/>
    <w:qFormat/>
    <w:uiPriority w:val="0"/>
    <w:rPr>
      <w:kern w:val="2"/>
      <w:sz w:val="24"/>
      <w:szCs w:val="24"/>
    </w:rPr>
  </w:style>
  <w:style w:type="character" w:customStyle="1" w:styleId="52">
    <w:name w:val="页脚 Char"/>
    <w:link w:val="17"/>
    <w:qFormat/>
    <w:uiPriority w:val="0"/>
    <w:rPr>
      <w:rFonts w:eastAsia="宋体"/>
      <w:kern w:val="2"/>
      <w:sz w:val="18"/>
      <w:szCs w:val="18"/>
      <w:lang w:val="en-US" w:eastAsia="zh-CN" w:bidi="ar-SA"/>
    </w:rPr>
  </w:style>
  <w:style w:type="character" w:customStyle="1" w:styleId="53">
    <w:name w:val="页眉 Char"/>
    <w:link w:val="18"/>
    <w:qFormat/>
    <w:uiPriority w:val="0"/>
    <w:rPr>
      <w:kern w:val="2"/>
      <w:sz w:val="18"/>
      <w:szCs w:val="18"/>
    </w:rPr>
  </w:style>
  <w:style w:type="character" w:customStyle="1" w:styleId="54">
    <w:name w:val="标题 Char"/>
    <w:link w:val="24"/>
    <w:qFormat/>
    <w:uiPriority w:val="0"/>
    <w:rPr>
      <w:rFonts w:ascii="Cambria" w:hAnsi="Cambria" w:eastAsia="仿宋_GB2312"/>
      <w:bCs/>
      <w:kern w:val="2"/>
      <w:sz w:val="32"/>
      <w:szCs w:val="32"/>
    </w:rPr>
  </w:style>
  <w:style w:type="character" w:customStyle="1" w:styleId="55">
    <w:name w:val="批注主题 Char"/>
    <w:link w:val="25"/>
    <w:qFormat/>
    <w:uiPriority w:val="0"/>
    <w:rPr>
      <w:b/>
      <w:bCs/>
      <w:kern w:val="2"/>
      <w:sz w:val="21"/>
      <w:szCs w:val="24"/>
    </w:rPr>
  </w:style>
  <w:style w:type="character" w:customStyle="1" w:styleId="56">
    <w:name w:val="正文首行缩进 Char"/>
    <w:link w:val="26"/>
    <w:qFormat/>
    <w:uiPriority w:val="0"/>
    <w:rPr>
      <w:b/>
      <w:bCs/>
      <w:kern w:val="2"/>
      <w:sz w:val="21"/>
      <w:szCs w:val="24"/>
    </w:rPr>
  </w:style>
  <w:style w:type="paragraph" w:customStyle="1" w:styleId="57">
    <w:name w:val="标4"/>
    <w:basedOn w:val="1"/>
    <w:qFormat/>
    <w:uiPriority w:val="0"/>
    <w:pPr>
      <w:adjustRightInd w:val="0"/>
      <w:spacing w:before="240" w:after="360" w:line="240" w:lineRule="exact"/>
      <w:outlineLvl w:val="3"/>
    </w:pPr>
    <w:rPr>
      <w:rFonts w:ascii="Arial" w:hAnsi="Arial" w:cs="Arial"/>
      <w:b/>
      <w:bCs/>
      <w:kern w:val="24"/>
    </w:rPr>
  </w:style>
  <w:style w:type="character" w:styleId="58">
    <w:name w:val="Placeholder Text"/>
    <w:basedOn w:val="30"/>
    <w:unhideWhenUsed/>
    <w:qFormat/>
    <w:uiPriority w:val="99"/>
    <w:rPr>
      <w:color w:val="808080"/>
    </w:rPr>
  </w:style>
  <w:style w:type="character" w:customStyle="1" w:styleId="59">
    <w:name w:val="批注文字 字符1"/>
    <w:qFormat/>
    <w:uiPriority w:val="0"/>
    <w:rPr>
      <w:kern w:val="2"/>
      <w:sz w:val="21"/>
      <w:szCs w:val="24"/>
    </w:rPr>
  </w:style>
  <w:style w:type="character" w:customStyle="1" w:styleId="60">
    <w:name w:val="l-selected"/>
    <w:qFormat/>
    <w:uiPriority w:val="0"/>
    <w:rPr>
      <w:color w:val="355686"/>
      <w:bdr w:val="single" w:color="DAB364" w:sz="6" w:space="0"/>
      <w:shd w:val="clear" w:color="auto" w:fill="FFFFFF"/>
    </w:rPr>
  </w:style>
  <w:style w:type="character" w:customStyle="1" w:styleId="61">
    <w:name w:val="正文首行缩进 Char1"/>
    <w:basedOn w:val="50"/>
    <w:qFormat/>
    <w:uiPriority w:val="0"/>
  </w:style>
  <w:style w:type="character" w:customStyle="1" w:styleId="62">
    <w:name w:val="c lh15"/>
    <w:basedOn w:val="30"/>
    <w:qFormat/>
    <w:uiPriority w:val="0"/>
  </w:style>
  <w:style w:type="character" w:customStyle="1" w:styleId="63">
    <w:name w:val="@他"/>
    <w:unhideWhenUsed/>
    <w:qFormat/>
    <w:uiPriority w:val="99"/>
    <w:rPr>
      <w:color w:val="2B579A"/>
      <w:shd w:val="clear" w:color="auto" w:fill="E6E6E6"/>
    </w:rPr>
  </w:style>
  <w:style w:type="character" w:customStyle="1" w:styleId="64">
    <w:name w:val="标题 Char1"/>
    <w:qFormat/>
    <w:uiPriority w:val="0"/>
    <w:rPr>
      <w:rFonts w:ascii="Calibri Light" w:hAnsi="Calibri Light" w:cs="Times New Roman"/>
      <w:b/>
      <w:bCs/>
      <w:kern w:val="2"/>
      <w:sz w:val="32"/>
      <w:szCs w:val="32"/>
    </w:rPr>
  </w:style>
  <w:style w:type="character" w:customStyle="1" w:styleId="65">
    <w:name w:val="l-over"/>
    <w:qFormat/>
    <w:uiPriority w:val="0"/>
    <w:rPr>
      <w:bdr w:val="single" w:color="DAB364" w:sz="6" w:space="0"/>
    </w:rPr>
  </w:style>
  <w:style w:type="character" w:customStyle="1" w:styleId="66">
    <w:name w:val="required"/>
    <w:qFormat/>
    <w:uiPriority w:val="0"/>
    <w:rPr>
      <w:color w:val="FF0000"/>
    </w:rPr>
  </w:style>
  <w:style w:type="character" w:customStyle="1" w:styleId="67">
    <w:name w:val="l-open"/>
    <w:basedOn w:val="30"/>
    <w:qFormat/>
    <w:uiPriority w:val="0"/>
  </w:style>
  <w:style w:type="character" w:customStyle="1" w:styleId="68">
    <w:name w:val="ziti"/>
    <w:basedOn w:val="30"/>
    <w:qFormat/>
    <w:uiPriority w:val="0"/>
  </w:style>
  <w:style w:type="character" w:customStyle="1" w:styleId="69">
    <w:name w:val="批注文字 Char1"/>
    <w:semiHidden/>
    <w:qFormat/>
    <w:locked/>
    <w:uiPriority w:val="0"/>
    <w:rPr>
      <w:rFonts w:ascii="Calibri" w:hAnsi="Calibri" w:eastAsia="宋体" w:cs="Times New Roman"/>
      <w:kern w:val="2"/>
      <w:sz w:val="21"/>
      <w:szCs w:val="24"/>
    </w:rPr>
  </w:style>
  <w:style w:type="paragraph" w:customStyle="1" w:styleId="70">
    <w:name w:val="_Style 68"/>
    <w:basedOn w:val="2"/>
    <w:next w:val="1"/>
    <w:qFormat/>
    <w:uiPriority w:val="39"/>
    <w:pPr>
      <w:widowControl/>
      <w:spacing w:before="240" w:after="0" w:line="259" w:lineRule="auto"/>
      <w:jc w:val="left"/>
      <w:outlineLvl w:val="9"/>
    </w:pPr>
    <w:rPr>
      <w:rFonts w:ascii="等线 Light" w:hAnsi="等线 Light" w:eastAsia="等线 Light" w:cs="Times New Roman"/>
      <w:b w:val="0"/>
      <w:bCs w:val="0"/>
      <w:color w:val="2F5496"/>
      <w:kern w:val="0"/>
      <w:sz w:val="32"/>
      <w:szCs w:val="32"/>
    </w:rPr>
  </w:style>
  <w:style w:type="paragraph" w:customStyle="1" w:styleId="71">
    <w:name w:val="xl35"/>
    <w:basedOn w:val="1"/>
    <w:qFormat/>
    <w:uiPriority w:val="0"/>
    <w:pPr>
      <w:widowControl/>
      <w:pBdr>
        <w:bottom w:val="single" w:color="auto" w:sz="4" w:space="0"/>
        <w:right w:val="single" w:color="auto" w:sz="4" w:space="0"/>
      </w:pBdr>
      <w:spacing w:before="100" w:beforeAutospacing="1" w:after="100" w:afterAutospacing="1"/>
      <w:jc w:val="center"/>
      <w:textAlignment w:val="top"/>
    </w:pPr>
    <w:rPr>
      <w:rFonts w:ascii="Arial Unicode MS" w:hAnsi="Arial Unicode MS" w:eastAsia="Arial Unicode MS"/>
      <w:kern w:val="0"/>
      <w:szCs w:val="20"/>
    </w:rPr>
  </w:style>
  <w:style w:type="paragraph" w:customStyle="1" w:styleId="72">
    <w:name w:val="xl27"/>
    <w:basedOn w:val="1"/>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 w:val="24"/>
      <w:szCs w:val="20"/>
    </w:rPr>
  </w:style>
  <w:style w:type="paragraph" w:customStyle="1" w:styleId="73">
    <w:name w:val=" Char Char5"/>
    <w:basedOn w:val="1"/>
    <w:qFormat/>
    <w:uiPriority w:val="0"/>
    <w:pPr>
      <w:widowControl/>
      <w:spacing w:line="400" w:lineRule="exact"/>
      <w:jc w:val="center"/>
    </w:pPr>
    <w:rPr>
      <w:rFonts w:ascii="Verdana" w:hAnsi="Verdana"/>
      <w:kern w:val="0"/>
      <w:szCs w:val="20"/>
      <w:lang w:eastAsia="en-US"/>
    </w:rPr>
  </w:style>
  <w:style w:type="paragraph" w:customStyle="1" w:styleId="74">
    <w:name w:val="1 Char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styleId="75">
    <w:name w:val="List Paragraph"/>
    <w:basedOn w:val="1"/>
    <w:qFormat/>
    <w:uiPriority w:val="0"/>
    <w:pPr>
      <w:ind w:firstLine="420" w:firstLineChars="200"/>
    </w:pPr>
    <w:rPr>
      <w:rFonts w:ascii="Calibri" w:hAnsi="Calibri"/>
      <w:szCs w:val="22"/>
    </w:rPr>
  </w:style>
  <w:style w:type="paragraph" w:customStyle="1" w:styleId="76">
    <w:name w:val="表格文字"/>
    <w:basedOn w:val="1"/>
    <w:next w:val="9"/>
    <w:qFormat/>
    <w:uiPriority w:val="0"/>
    <w:pPr>
      <w:adjustRightInd w:val="0"/>
      <w:spacing w:line="420" w:lineRule="atLeast"/>
      <w:jc w:val="left"/>
      <w:textAlignment w:val="baseline"/>
    </w:pPr>
    <w:rPr>
      <w:kern w:val="0"/>
      <w:szCs w:val="20"/>
    </w:rPr>
  </w:style>
  <w:style w:type="character" w:customStyle="1" w:styleId="77">
    <w:name w:val="hover"/>
    <w:basedOn w:val="30"/>
    <w:qFormat/>
    <w:uiPriority w:val="0"/>
  </w:style>
  <w:style w:type="character" w:customStyle="1" w:styleId="78">
    <w:name w:val="hover1"/>
    <w:basedOn w:val="30"/>
    <w:qFormat/>
    <w:uiPriority w:val="0"/>
    <w:rPr>
      <w:color w:val="2590EB"/>
    </w:rPr>
  </w:style>
  <w:style w:type="character" w:customStyle="1" w:styleId="79">
    <w:name w:val="hover2"/>
    <w:basedOn w:val="30"/>
    <w:qFormat/>
    <w:uiPriority w:val="0"/>
    <w:rPr>
      <w:color w:val="2590EB"/>
    </w:rPr>
  </w:style>
  <w:style w:type="character" w:customStyle="1" w:styleId="80">
    <w:name w:val="hover3"/>
    <w:basedOn w:val="30"/>
    <w:qFormat/>
    <w:uiPriority w:val="0"/>
    <w:rPr>
      <w:color w:val="2590EB"/>
      <w:shd w:val="clear" w:color="auto" w:fill="E9F4FD"/>
    </w:rPr>
  </w:style>
  <w:style w:type="paragraph" w:customStyle="1" w:styleId="81">
    <w:name w:val="列出段落1"/>
    <w:basedOn w:val="1"/>
    <w:qFormat/>
    <w:uiPriority w:val="99"/>
    <w:pPr>
      <w:widowControl/>
      <w:suppressAutoHyphens/>
      <w:ind w:firstLine="420"/>
      <w:jc w:val="left"/>
    </w:pPr>
    <w:rPr>
      <w:kern w:val="0"/>
      <w:sz w:val="20"/>
    </w:rPr>
  </w:style>
  <w:style w:type="character" w:customStyle="1" w:styleId="82">
    <w:name w:val="font41"/>
    <w:basedOn w:val="30"/>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5138"/>
    <customShpInfo spid="_x0000_s513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39</Pages>
  <Words>22508</Words>
  <Characters>23515</Characters>
  <Lines>219</Lines>
  <Paragraphs>61</Paragraphs>
  <TotalTime>109</TotalTime>
  <ScaleCrop>false</ScaleCrop>
  <LinksUpToDate>false</LinksUpToDate>
  <CharactersWithSpaces>24906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2015-12-02T01:54:00Z</dcterms:created>
  <dc:creator>周文</dc:creator>
  <cp:lastModifiedBy>豆子弹</cp:lastModifiedBy>
  <cp:lastPrinted>2022-05-24T06:24:00Z</cp:lastPrinted>
  <dcterms:modified xsi:type="dcterms:W3CDTF">2025-10-20T07:44:02Z</dcterms:modified>
  <dc:title>招标文件</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6008B31DFA9A48C0BA1416BA899BE876_13</vt:lpwstr>
  </property>
  <property fmtid="{D5CDD505-2E9C-101B-9397-08002B2CF9AE}" pid="4" name="KSOTemplateDocerSaveRecord">
    <vt:lpwstr>eyJoZGlkIjoiOGM4ZDljNjA3OWI3YTdhZjVlM2ZjNzRlMThiNmRiNmUiLCJ1c2VySWQiOiIxMjA0Mjc2NDQifQ==</vt:lpwstr>
  </property>
</Properties>
</file>